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5A2D" w14:textId="6E34B95D" w:rsidR="000B6005" w:rsidRDefault="00CA458C" w:rsidP="000B6005">
      <w:pPr>
        <w:pStyle w:val="Heading1"/>
        <w:rPr>
          <w:noProof/>
          <w:lang w:eastAsia="en-AU"/>
        </w:rPr>
      </w:pPr>
      <w:r>
        <w:rPr>
          <w:noProof/>
          <w:lang w:eastAsia="en-AU"/>
        </w:rPr>
        <w:t>Inquiry findings</w:t>
      </w:r>
    </w:p>
    <w:p w14:paraId="12FF4FBC" w14:textId="7D3A0EAF" w:rsidR="000B6005" w:rsidRDefault="00483E96" w:rsidP="001357DE">
      <w:r>
        <w:t>T</w:t>
      </w:r>
      <w:r w:rsidR="000B6005">
        <w:t>he onshore</w:t>
      </w:r>
      <w:r w:rsidR="001357DE">
        <w:t xml:space="preserve"> </w:t>
      </w:r>
      <w:r w:rsidR="00460F51">
        <w:t xml:space="preserve">shale </w:t>
      </w:r>
      <w:r w:rsidR="001357DE">
        <w:t xml:space="preserve">gas industry </w:t>
      </w:r>
      <w:r>
        <w:t>is expected to create</w:t>
      </w:r>
      <w:r w:rsidR="00144D04">
        <w:t xml:space="preserve"> </w:t>
      </w:r>
      <w:r w:rsidR="001357DE">
        <w:t>opportunities for local communities</w:t>
      </w:r>
      <w:r>
        <w:t>. However,</w:t>
      </w:r>
      <w:r w:rsidR="00591D25">
        <w:t xml:space="preserve"> </w:t>
      </w:r>
      <w:r w:rsidR="00310C56">
        <w:t xml:space="preserve">the Inquiry found </w:t>
      </w:r>
      <w:r w:rsidR="00591D25">
        <w:t xml:space="preserve">there is </w:t>
      </w:r>
      <w:r w:rsidR="00CA458C">
        <w:t xml:space="preserve">a </w:t>
      </w:r>
      <w:r w:rsidR="001357DE">
        <w:t>risk that these communities will not receive these benefits</w:t>
      </w:r>
      <w:r w:rsidR="00144D04">
        <w:t>,</w:t>
      </w:r>
      <w:r w:rsidR="001357DE">
        <w:t xml:space="preserve"> and instead be economically disadvantaged. Without appropriate NT Government action to </w:t>
      </w:r>
      <w:r w:rsidR="00591D25">
        <w:t xml:space="preserve">develop </w:t>
      </w:r>
      <w:r>
        <w:t>local economic opportunities,</w:t>
      </w:r>
      <w:r w:rsidR="00144D04">
        <w:t xml:space="preserve"> there is a</w:t>
      </w:r>
      <w:r w:rsidR="00A3038B">
        <w:t xml:space="preserve"> </w:t>
      </w:r>
      <w:r>
        <w:t xml:space="preserve">risk </w:t>
      </w:r>
      <w:r w:rsidR="00591D25">
        <w:t xml:space="preserve">that </w:t>
      </w:r>
      <w:r w:rsidR="00A3038B">
        <w:t xml:space="preserve">adverse impacts </w:t>
      </w:r>
      <w:r w:rsidR="00591D25">
        <w:t>will</w:t>
      </w:r>
      <w:r w:rsidR="00A3038B">
        <w:t xml:space="preserve"> outweigh positive benefits</w:t>
      </w:r>
      <w:r>
        <w:t>.</w:t>
      </w:r>
      <w:r w:rsidR="00A3038B">
        <w:t xml:space="preserve"> </w:t>
      </w:r>
      <w:r>
        <w:t xml:space="preserve">The </w:t>
      </w:r>
      <w:r w:rsidR="00591D25">
        <w:t>r</w:t>
      </w:r>
      <w:r w:rsidR="00A3038B">
        <w:t xml:space="preserve">isks identified </w:t>
      </w:r>
      <w:r>
        <w:t xml:space="preserve">by the Inquiry </w:t>
      </w:r>
      <w:r w:rsidR="00A3038B">
        <w:t>include:</w:t>
      </w:r>
    </w:p>
    <w:p w14:paraId="67A29B8A" w14:textId="1920B6CA" w:rsidR="00A3038B" w:rsidRDefault="00782C10" w:rsidP="00A3038B">
      <w:pPr>
        <w:pStyle w:val="ListParagraph"/>
        <w:numPr>
          <w:ilvl w:val="0"/>
          <w:numId w:val="7"/>
        </w:numPr>
      </w:pPr>
      <w:r>
        <w:t>d</w:t>
      </w:r>
      <w:r w:rsidR="0023108F">
        <w:t xml:space="preserve">amage to the amenity </w:t>
      </w:r>
      <w:r w:rsidR="00144D04">
        <w:t>of</w:t>
      </w:r>
      <w:r w:rsidR="0023108F">
        <w:t xml:space="preserve"> the local</w:t>
      </w:r>
      <w:r w:rsidR="00A3038B">
        <w:t xml:space="preserve"> area</w:t>
      </w:r>
      <w:r w:rsidR="00144D04">
        <w:t>, including</w:t>
      </w:r>
      <w:r w:rsidR="006C7129">
        <w:t xml:space="preserve"> detrimental effects on</w:t>
      </w:r>
      <w:r w:rsidR="00144D04">
        <w:t xml:space="preserve"> </w:t>
      </w:r>
      <w:r w:rsidR="00835982">
        <w:t xml:space="preserve">existing industries, </w:t>
      </w:r>
      <w:r w:rsidR="00AA1051">
        <w:t>such as agriculture, touris</w:t>
      </w:r>
      <w:r w:rsidR="00460F51">
        <w:t>m, or pastoralism, among others</w:t>
      </w:r>
    </w:p>
    <w:p w14:paraId="6435D878" w14:textId="670E650F" w:rsidR="00835982" w:rsidRDefault="00782C10" w:rsidP="00A3038B">
      <w:pPr>
        <w:pStyle w:val="ListParagraph"/>
        <w:numPr>
          <w:ilvl w:val="0"/>
          <w:numId w:val="7"/>
        </w:numPr>
      </w:pPr>
      <w:r>
        <w:t>t</w:t>
      </w:r>
      <w:r w:rsidR="00835982">
        <w:t>he potential for ‘boom and bust’ cycles to bring volatility to rental and housing prices, squeezing lo</w:t>
      </w:r>
      <w:r w:rsidR="00460F51">
        <w:t>cal residents out of the market</w:t>
      </w:r>
    </w:p>
    <w:p w14:paraId="00BE5D8C" w14:textId="76D62B9A" w:rsidR="00835982" w:rsidRDefault="00782C10" w:rsidP="00A3038B">
      <w:pPr>
        <w:pStyle w:val="ListParagraph"/>
        <w:numPr>
          <w:ilvl w:val="0"/>
          <w:numId w:val="7"/>
        </w:numPr>
      </w:pPr>
      <w:r>
        <w:t>d</w:t>
      </w:r>
      <w:r w:rsidR="00835982">
        <w:t xml:space="preserve">amage to social unity within communities, particularly where benefits and opportunities associated with the onshore </w:t>
      </w:r>
      <w:r w:rsidR="00460F51">
        <w:t xml:space="preserve">shale </w:t>
      </w:r>
      <w:r w:rsidR="00835982">
        <w:t>gas industry are not equitably distributed.</w:t>
      </w:r>
    </w:p>
    <w:p w14:paraId="22177131" w14:textId="0FC98FF9" w:rsidR="000B6005" w:rsidRDefault="00CA458C" w:rsidP="000B6005">
      <w:pPr>
        <w:pStyle w:val="Heading1"/>
        <w:rPr>
          <w:lang w:eastAsia="en-AU"/>
        </w:rPr>
      </w:pPr>
      <w:r>
        <w:rPr>
          <w:lang w:eastAsia="en-AU"/>
        </w:rPr>
        <w:t>NT Government mitigations</w:t>
      </w:r>
    </w:p>
    <w:p w14:paraId="785E3A84" w14:textId="2E9CC229" w:rsidR="0023108F" w:rsidRDefault="000B6005" w:rsidP="000B6005">
      <w:pPr>
        <w:rPr>
          <w:lang w:eastAsia="en-AU"/>
        </w:rPr>
      </w:pPr>
      <w:r w:rsidRPr="00C077A9">
        <w:rPr>
          <w:lang w:eastAsia="en-AU"/>
        </w:rPr>
        <w:t xml:space="preserve">The NT Government </w:t>
      </w:r>
      <w:r w:rsidR="0023108F">
        <w:rPr>
          <w:lang w:eastAsia="en-AU"/>
        </w:rPr>
        <w:t xml:space="preserve">has accepted the recommendations of the Inquiry to mitigate these risks </w:t>
      </w:r>
      <w:r w:rsidR="001A45F7">
        <w:rPr>
          <w:lang w:eastAsia="en-AU"/>
        </w:rPr>
        <w:t xml:space="preserve">and ensure </w:t>
      </w:r>
      <w:r w:rsidR="0023108F">
        <w:rPr>
          <w:lang w:eastAsia="en-AU"/>
        </w:rPr>
        <w:t xml:space="preserve">local communities benefit from the development of the onshore </w:t>
      </w:r>
      <w:r w:rsidR="00460F51">
        <w:rPr>
          <w:lang w:eastAsia="en-AU"/>
        </w:rPr>
        <w:t xml:space="preserve">shale </w:t>
      </w:r>
      <w:r w:rsidR="0023108F">
        <w:rPr>
          <w:lang w:eastAsia="en-AU"/>
        </w:rPr>
        <w:t>gas industry.</w:t>
      </w:r>
    </w:p>
    <w:p w14:paraId="51F7DDDD" w14:textId="411A0287" w:rsidR="0023108F" w:rsidRDefault="00BD0031" w:rsidP="0023108F">
      <w:pPr>
        <w:pStyle w:val="ListParagraph"/>
        <w:numPr>
          <w:ilvl w:val="0"/>
          <w:numId w:val="8"/>
        </w:numPr>
        <w:rPr>
          <w:lang w:eastAsia="en-AU"/>
        </w:rPr>
      </w:pPr>
      <w:r>
        <w:rPr>
          <w:lang w:eastAsia="en-AU"/>
        </w:rPr>
        <w:t xml:space="preserve">The NT Government </w:t>
      </w:r>
      <w:r w:rsidR="00B823FB">
        <w:rPr>
          <w:lang w:eastAsia="en-AU"/>
        </w:rPr>
        <w:t>strengthened</w:t>
      </w:r>
      <w:r>
        <w:rPr>
          <w:lang w:eastAsia="en-AU"/>
        </w:rPr>
        <w:t xml:space="preserve"> </w:t>
      </w:r>
      <w:r w:rsidR="00B823FB">
        <w:rPr>
          <w:lang w:eastAsia="en-AU"/>
        </w:rPr>
        <w:t>landholder</w:t>
      </w:r>
      <w:r>
        <w:rPr>
          <w:lang w:eastAsia="en-AU"/>
        </w:rPr>
        <w:t xml:space="preserve"> </w:t>
      </w:r>
      <w:r w:rsidR="00B823FB">
        <w:rPr>
          <w:lang w:eastAsia="en-AU"/>
        </w:rPr>
        <w:t xml:space="preserve">protections </w:t>
      </w:r>
      <w:r>
        <w:rPr>
          <w:lang w:eastAsia="en-AU"/>
        </w:rPr>
        <w:t xml:space="preserve">by requiring </w:t>
      </w:r>
      <w:r w:rsidR="00310C56">
        <w:rPr>
          <w:lang w:eastAsia="en-AU"/>
        </w:rPr>
        <w:t xml:space="preserve">onshore </w:t>
      </w:r>
      <w:r w:rsidR="00B823FB">
        <w:rPr>
          <w:lang w:eastAsia="en-AU"/>
        </w:rPr>
        <w:t>gas</w:t>
      </w:r>
      <w:r>
        <w:rPr>
          <w:lang w:eastAsia="en-AU"/>
        </w:rPr>
        <w:t xml:space="preserve"> industry proponents</w:t>
      </w:r>
      <w:r w:rsidR="00B823FB">
        <w:rPr>
          <w:lang w:eastAsia="en-AU"/>
        </w:rPr>
        <w:t xml:space="preserve"> to actively negotiate</w:t>
      </w:r>
      <w:r>
        <w:rPr>
          <w:lang w:eastAsia="en-AU"/>
        </w:rPr>
        <w:t xml:space="preserve"> land access agreement</w:t>
      </w:r>
      <w:r w:rsidR="00B823FB">
        <w:rPr>
          <w:lang w:eastAsia="en-AU"/>
        </w:rPr>
        <w:t>s</w:t>
      </w:r>
      <w:r>
        <w:rPr>
          <w:lang w:eastAsia="en-AU"/>
        </w:rPr>
        <w:t>, which must include minimum</w:t>
      </w:r>
      <w:r w:rsidR="00193650">
        <w:rPr>
          <w:lang w:eastAsia="en-AU"/>
        </w:rPr>
        <w:t xml:space="preserve"> </w:t>
      </w:r>
      <w:r w:rsidR="001A45F7">
        <w:rPr>
          <w:lang w:eastAsia="en-AU"/>
        </w:rPr>
        <w:t xml:space="preserve">landholder </w:t>
      </w:r>
      <w:r w:rsidR="00193650">
        <w:rPr>
          <w:lang w:eastAsia="en-AU"/>
        </w:rPr>
        <w:t>protections</w:t>
      </w:r>
      <w:r w:rsidR="001A45F7">
        <w:rPr>
          <w:lang w:eastAsia="en-AU"/>
        </w:rPr>
        <w:t xml:space="preserve"> set out in legislation</w:t>
      </w:r>
      <w:r>
        <w:rPr>
          <w:lang w:eastAsia="en-AU"/>
        </w:rPr>
        <w:t xml:space="preserve">. </w:t>
      </w:r>
    </w:p>
    <w:p w14:paraId="2D074BEA" w14:textId="0BB2337E" w:rsidR="00B823FB" w:rsidRDefault="00B823FB" w:rsidP="00B823FB">
      <w:pPr>
        <w:pStyle w:val="ListParagraph"/>
        <w:numPr>
          <w:ilvl w:val="0"/>
          <w:numId w:val="8"/>
        </w:numPr>
        <w:rPr>
          <w:lang w:eastAsia="en-AU"/>
        </w:rPr>
      </w:pPr>
      <w:r>
        <w:rPr>
          <w:lang w:eastAsia="en-AU"/>
        </w:rPr>
        <w:t>The NT Government implemented a minimum mandatory compensation scheme payable to all landholders, including pastoral lessees, for onshore gas activity on their land.</w:t>
      </w:r>
      <w:r w:rsidR="001A45F7">
        <w:rPr>
          <w:lang w:eastAsia="en-AU"/>
        </w:rPr>
        <w:t xml:space="preserve"> </w:t>
      </w:r>
      <w:r w:rsidR="00C623C0">
        <w:rPr>
          <w:lang w:eastAsia="en-AU"/>
        </w:rPr>
        <w:t xml:space="preserve">Landholders are entitled to compensation when onshore gas activities cause damage to their land, reduce the land’s market value, prevent the landholder from using or enjoying the land, and for every well drilled on the land. </w:t>
      </w:r>
    </w:p>
    <w:p w14:paraId="759EB6A1" w14:textId="139F6CEA" w:rsidR="00ED0DD1" w:rsidRDefault="00ED0DD1" w:rsidP="00B823FB">
      <w:pPr>
        <w:pStyle w:val="ListParagraph"/>
        <w:numPr>
          <w:ilvl w:val="0"/>
          <w:numId w:val="8"/>
        </w:numPr>
        <w:rPr>
          <w:lang w:eastAsia="en-AU"/>
        </w:rPr>
      </w:pPr>
      <w:r>
        <w:rPr>
          <w:lang w:eastAsia="en-AU"/>
        </w:rPr>
        <w:t xml:space="preserve">The NT Government is developing a new agency budget system to improve reporting on where revenue is generated and where it is spent in the Territory. This will show whether revenue generated from the onshore </w:t>
      </w:r>
      <w:r w:rsidR="00460F51">
        <w:rPr>
          <w:lang w:eastAsia="en-AU"/>
        </w:rPr>
        <w:t xml:space="preserve">shale </w:t>
      </w:r>
      <w:r>
        <w:rPr>
          <w:lang w:eastAsia="en-AU"/>
        </w:rPr>
        <w:t>gas industry is spent in the regions w</w:t>
      </w:r>
      <w:r w:rsidR="00C75FB4">
        <w:rPr>
          <w:lang w:eastAsia="en-AU"/>
        </w:rPr>
        <w:t>here industry activity occurs.</w:t>
      </w:r>
    </w:p>
    <w:p w14:paraId="30E0D19A" w14:textId="6A7A5538" w:rsidR="006853F0" w:rsidRDefault="00ED0DD1" w:rsidP="0065634A">
      <w:pPr>
        <w:pStyle w:val="ListParagraph"/>
        <w:numPr>
          <w:ilvl w:val="0"/>
          <w:numId w:val="8"/>
        </w:numPr>
        <w:rPr>
          <w:lang w:eastAsia="en-AU"/>
        </w:rPr>
      </w:pPr>
      <w:r>
        <w:rPr>
          <w:lang w:eastAsia="en-AU"/>
        </w:rPr>
        <w:t xml:space="preserve">The NT Government will use the Regional Development Framework and Local Decision-Making agreements to make sure budget allocations in regional areas match local priorities. </w:t>
      </w:r>
    </w:p>
    <w:p w14:paraId="3E31AFED" w14:textId="569F1B22" w:rsidR="00756CE2" w:rsidRDefault="00756CE2" w:rsidP="00756CE2">
      <w:pPr>
        <w:pStyle w:val="ListParagraph"/>
        <w:numPr>
          <w:ilvl w:val="0"/>
          <w:numId w:val="8"/>
        </w:numPr>
        <w:rPr>
          <w:lang w:eastAsia="en-AU"/>
        </w:rPr>
      </w:pPr>
      <w:r>
        <w:rPr>
          <w:lang w:eastAsia="en-AU"/>
        </w:rPr>
        <w:t xml:space="preserve">The NT Government is working with the Australian Government and the Barkly Regional Council to implement the Barkly Regional Deal to deliver $84.7 million in social and economic infrastructure projects, </w:t>
      </w:r>
      <w:r>
        <w:t>as well as social and cultural programs, for communities in close proximity to the Beetaloo Sub-basin.</w:t>
      </w:r>
    </w:p>
    <w:p w14:paraId="57CBE269" w14:textId="0C36619D" w:rsidR="007611FA" w:rsidRDefault="007611FA" w:rsidP="007611FA">
      <w:pPr>
        <w:pStyle w:val="ListParagraph"/>
        <w:numPr>
          <w:ilvl w:val="0"/>
          <w:numId w:val="8"/>
        </w:numPr>
        <w:rPr>
          <w:lang w:eastAsia="en-AU"/>
        </w:rPr>
      </w:pPr>
      <w:r>
        <w:lastRenderedPageBreak/>
        <w:t>The Australian and NT Governments are jointly funding $367 million for road upgrades to the Carpentaria Highway, sections of the Stuart Highway, Buchanan Highway, Western Creek Road and Gorrie/Dry Creek Road. This will improve freight productivity, road safety, improve connectivity with jobs and services, including access to health and social services for regional and remote indigenous communities.</w:t>
      </w:r>
    </w:p>
    <w:p w14:paraId="718993BA" w14:textId="10EC30AD" w:rsidR="0005000A" w:rsidRDefault="0005000A" w:rsidP="0005000A">
      <w:pPr>
        <w:pStyle w:val="ListParagraph"/>
        <w:numPr>
          <w:ilvl w:val="0"/>
          <w:numId w:val="8"/>
        </w:numPr>
        <w:rPr>
          <w:lang w:eastAsia="en-AU"/>
        </w:rPr>
      </w:pPr>
      <w:r>
        <w:rPr>
          <w:lang w:eastAsia="en-AU"/>
        </w:rPr>
        <w:t xml:space="preserve">The </w:t>
      </w:r>
      <w:r w:rsidR="0078053A">
        <w:rPr>
          <w:lang w:eastAsia="en-AU"/>
        </w:rPr>
        <w:t xml:space="preserve">NT Government </w:t>
      </w:r>
      <w:r>
        <w:rPr>
          <w:lang w:eastAsia="en-AU"/>
        </w:rPr>
        <w:t xml:space="preserve">is </w:t>
      </w:r>
      <w:r w:rsidR="0078053A">
        <w:rPr>
          <w:lang w:eastAsia="en-AU"/>
        </w:rPr>
        <w:t>fund</w:t>
      </w:r>
      <w:r>
        <w:rPr>
          <w:lang w:eastAsia="en-AU"/>
        </w:rPr>
        <w:t>ing</w:t>
      </w:r>
      <w:r w:rsidR="0078053A">
        <w:rPr>
          <w:lang w:eastAsia="en-AU"/>
        </w:rPr>
        <w:t xml:space="preserve"> </w:t>
      </w:r>
      <w:r>
        <w:rPr>
          <w:lang w:eastAsia="en-AU"/>
        </w:rPr>
        <w:t>the Northern Territory Beetaloo Skills Audit, which will be undertake</w:t>
      </w:r>
      <w:r w:rsidR="00A767A3">
        <w:rPr>
          <w:lang w:eastAsia="en-AU"/>
        </w:rPr>
        <w:t>n</w:t>
      </w:r>
      <w:r>
        <w:rPr>
          <w:lang w:eastAsia="en-AU"/>
        </w:rPr>
        <w:t xml:space="preserve"> with assistance from the Industry Skills Advisory Council NT and delivered in 2023. The</w:t>
      </w:r>
      <w:r w:rsidR="0078053A">
        <w:rPr>
          <w:lang w:eastAsia="en-AU"/>
        </w:rPr>
        <w:t xml:space="preserve"> report will identify potential gaps in skills and requirements, </w:t>
      </w:r>
      <w:r>
        <w:rPr>
          <w:lang w:eastAsia="en-AU"/>
        </w:rPr>
        <w:t xml:space="preserve">align existing capabilities </w:t>
      </w:r>
      <w:r w:rsidR="0078053A">
        <w:rPr>
          <w:lang w:eastAsia="en-AU"/>
        </w:rPr>
        <w:t xml:space="preserve">and guide future training investments. </w:t>
      </w:r>
    </w:p>
    <w:p w14:paraId="2BAFDE0D" w14:textId="5AFA6E0D" w:rsidR="00A767A3" w:rsidRDefault="00A767A3" w:rsidP="00A767A3">
      <w:pPr>
        <w:pStyle w:val="ListParagraph"/>
        <w:numPr>
          <w:ilvl w:val="0"/>
          <w:numId w:val="8"/>
        </w:numPr>
        <w:rPr>
          <w:lang w:eastAsia="en-AU"/>
        </w:rPr>
      </w:pPr>
      <w:r>
        <w:rPr>
          <w:lang w:eastAsia="en-AU"/>
        </w:rPr>
        <w:t xml:space="preserve">The NT Government will facilitate information sessions for Territory businesses which identify upcoming work opportunities </w:t>
      </w:r>
      <w:r w:rsidR="00BE2478">
        <w:rPr>
          <w:lang w:eastAsia="en-AU"/>
        </w:rPr>
        <w:t xml:space="preserve">with </w:t>
      </w:r>
      <w:r>
        <w:rPr>
          <w:lang w:eastAsia="en-AU"/>
        </w:rPr>
        <w:t xml:space="preserve">the onshore gas industry. The sessions will inform businesses of pre-qualification and contract requirements and processes for registering interest. Territory Business Centres and </w:t>
      </w:r>
      <w:r w:rsidR="006853F0">
        <w:rPr>
          <w:lang w:eastAsia="en-AU"/>
        </w:rPr>
        <w:t>Small Business C</w:t>
      </w:r>
      <w:r>
        <w:rPr>
          <w:lang w:eastAsia="en-AU"/>
        </w:rPr>
        <w:t>hampions will assist Territory businesses to prepare for quality assurance certifications, and to align their capabilities with industry expectations.</w:t>
      </w:r>
    </w:p>
    <w:p w14:paraId="6A7F9E6C" w14:textId="46FD7B46" w:rsidR="0078053A" w:rsidRDefault="003124B1" w:rsidP="0005000A">
      <w:pPr>
        <w:pStyle w:val="ListParagraph"/>
        <w:numPr>
          <w:ilvl w:val="0"/>
          <w:numId w:val="8"/>
        </w:numPr>
        <w:rPr>
          <w:lang w:eastAsia="en-AU"/>
        </w:rPr>
      </w:pPr>
      <w:r>
        <w:rPr>
          <w:lang w:eastAsia="en-AU"/>
        </w:rPr>
        <w:t>Baseline data on housing demand was established through the</w:t>
      </w:r>
      <w:r w:rsidR="0078053A">
        <w:rPr>
          <w:lang w:eastAsia="en-AU"/>
        </w:rPr>
        <w:t xml:space="preserve"> Strategic Regional Economic Baseline Assessment</w:t>
      </w:r>
      <w:r>
        <w:rPr>
          <w:lang w:eastAsia="en-AU"/>
        </w:rPr>
        <w:t xml:space="preserve">, the </w:t>
      </w:r>
      <w:r>
        <w:rPr>
          <w:i/>
          <w:lang w:eastAsia="en-AU"/>
        </w:rPr>
        <w:t xml:space="preserve">Bringing Land to Market Report, </w:t>
      </w:r>
      <w:r>
        <w:rPr>
          <w:lang w:eastAsia="en-AU"/>
        </w:rPr>
        <w:t>and data contained in the regional economic growth plans for the Big Rivers and Barkly regions. This data</w:t>
      </w:r>
      <w:r w:rsidR="0078053A">
        <w:rPr>
          <w:lang w:eastAsia="en-AU"/>
        </w:rPr>
        <w:t xml:space="preserve"> will inform investment decisions </w:t>
      </w:r>
      <w:r>
        <w:rPr>
          <w:lang w:eastAsia="en-AU"/>
        </w:rPr>
        <w:t xml:space="preserve">to address </w:t>
      </w:r>
      <w:r w:rsidR="0078053A">
        <w:rPr>
          <w:lang w:eastAsia="en-AU"/>
        </w:rPr>
        <w:t>housing needs and</w:t>
      </w:r>
      <w:r w:rsidR="00685F76">
        <w:rPr>
          <w:lang w:eastAsia="en-AU"/>
        </w:rPr>
        <w:t xml:space="preserve"> will</w:t>
      </w:r>
      <w:r w:rsidR="0078053A">
        <w:rPr>
          <w:lang w:eastAsia="en-AU"/>
        </w:rPr>
        <w:t xml:space="preserve"> be used when assessing project specific-impacts. </w:t>
      </w:r>
    </w:p>
    <w:p w14:paraId="7E2C6227" w14:textId="6574839C" w:rsidR="00153BC5" w:rsidRDefault="00153BC5" w:rsidP="0023108F">
      <w:pPr>
        <w:pStyle w:val="ListParagraph"/>
        <w:numPr>
          <w:ilvl w:val="0"/>
          <w:numId w:val="8"/>
        </w:numPr>
        <w:rPr>
          <w:lang w:eastAsia="en-AU"/>
        </w:rPr>
      </w:pPr>
      <w:r>
        <w:t>New amendments regarding Environment Management Plans</w:t>
      </w:r>
      <w:r w:rsidR="00FD525A">
        <w:t xml:space="preserve"> (EMP</w:t>
      </w:r>
      <w:r w:rsidR="00310C56">
        <w:t>s</w:t>
      </w:r>
      <w:r w:rsidR="00FD525A">
        <w:t>)</w:t>
      </w:r>
      <w:r>
        <w:t xml:space="preserve"> require interest holders </w:t>
      </w:r>
      <w:r w:rsidR="00CE3C3E">
        <w:t xml:space="preserve">to </w:t>
      </w:r>
      <w:r>
        <w:t>identify, assess, and manage social impacts</w:t>
      </w:r>
      <w:r w:rsidR="00E42695">
        <w:t xml:space="preserve"> on an ongoing basis</w:t>
      </w:r>
      <w:r w:rsidR="00FD525A">
        <w:t>. When considering an EMP the</w:t>
      </w:r>
      <w:r w:rsidR="0078053A">
        <w:t xml:space="preserve"> </w:t>
      </w:r>
      <w:r w:rsidR="003376AE">
        <w:t>Department of Environment, Parks and Water Security</w:t>
      </w:r>
      <w:r w:rsidR="0062230E">
        <w:t xml:space="preserve"> </w:t>
      </w:r>
      <w:r w:rsidR="00C75FB4">
        <w:t xml:space="preserve">(DEPWS) </w:t>
      </w:r>
      <w:r w:rsidR="0062230E">
        <w:t>ma</w:t>
      </w:r>
      <w:r w:rsidR="00FD525A">
        <w:t>y require a Social Impact Management Plan, if a significant impact is</w:t>
      </w:r>
      <w:r w:rsidR="0062230E">
        <w:t xml:space="preserve"> considered</w:t>
      </w:r>
      <w:r w:rsidR="00FD525A">
        <w:t xml:space="preserve"> likely.</w:t>
      </w:r>
    </w:p>
    <w:p w14:paraId="2C37B5CE" w14:textId="2114E9DF" w:rsidR="00EE0D2A" w:rsidRDefault="003376AE" w:rsidP="00153BC5">
      <w:pPr>
        <w:pStyle w:val="ListParagraph"/>
        <w:numPr>
          <w:ilvl w:val="0"/>
          <w:numId w:val="8"/>
        </w:numPr>
        <w:rPr>
          <w:lang w:eastAsia="en-AU"/>
        </w:rPr>
      </w:pPr>
      <w:r>
        <w:rPr>
          <w:lang w:eastAsia="en-AU"/>
        </w:rPr>
        <w:t xml:space="preserve">NT Government initiatives </w:t>
      </w:r>
      <w:r w:rsidR="00310C56">
        <w:rPr>
          <w:lang w:eastAsia="en-AU"/>
        </w:rPr>
        <w:t xml:space="preserve">aimed at </w:t>
      </w:r>
      <w:r>
        <w:rPr>
          <w:lang w:eastAsia="en-AU"/>
        </w:rPr>
        <w:t>improv</w:t>
      </w:r>
      <w:r w:rsidR="00310C56">
        <w:rPr>
          <w:lang w:eastAsia="en-AU"/>
        </w:rPr>
        <w:t>ing</w:t>
      </w:r>
      <w:r>
        <w:rPr>
          <w:lang w:eastAsia="en-AU"/>
        </w:rPr>
        <w:t xml:space="preserve"> the ability of the onshore gas industry and Aboriginal communities to engage in consultation about </w:t>
      </w:r>
      <w:r w:rsidR="00EE0D2A">
        <w:rPr>
          <w:lang w:eastAsia="en-AU"/>
        </w:rPr>
        <w:t>onshore gas development</w:t>
      </w:r>
      <w:r w:rsidR="00310C56">
        <w:rPr>
          <w:lang w:eastAsia="en-AU"/>
        </w:rPr>
        <w:t xml:space="preserve"> include</w:t>
      </w:r>
      <w:r w:rsidR="00EE0D2A">
        <w:rPr>
          <w:lang w:eastAsia="en-AU"/>
        </w:rPr>
        <w:t>:</w:t>
      </w:r>
      <w:r>
        <w:rPr>
          <w:lang w:eastAsia="en-AU"/>
        </w:rPr>
        <w:t xml:space="preserve"> </w:t>
      </w:r>
    </w:p>
    <w:p w14:paraId="2F2DA4C3" w14:textId="232D03D1" w:rsidR="00EE0D2A" w:rsidRDefault="00782C10" w:rsidP="00EE0D2A">
      <w:pPr>
        <w:pStyle w:val="ListParagraph"/>
        <w:numPr>
          <w:ilvl w:val="1"/>
          <w:numId w:val="8"/>
        </w:numPr>
        <w:rPr>
          <w:lang w:eastAsia="en-AU"/>
        </w:rPr>
      </w:pPr>
      <w:r>
        <w:rPr>
          <w:lang w:eastAsia="en-AU"/>
        </w:rPr>
        <w:t>i</w:t>
      </w:r>
      <w:r w:rsidR="003376AE">
        <w:rPr>
          <w:lang w:eastAsia="en-AU"/>
        </w:rPr>
        <w:t>n consultation with the Aboriginal Interpreter Services</w:t>
      </w:r>
      <w:r w:rsidR="00EE0D2A">
        <w:rPr>
          <w:lang w:eastAsia="en-AU"/>
        </w:rPr>
        <w:t xml:space="preserve"> (AIS)</w:t>
      </w:r>
      <w:r w:rsidR="003376AE">
        <w:rPr>
          <w:lang w:eastAsia="en-AU"/>
        </w:rPr>
        <w:t xml:space="preserve">, the NT Government developed the </w:t>
      </w:r>
      <w:r w:rsidR="003376AE">
        <w:rPr>
          <w:i/>
          <w:lang w:eastAsia="en-AU"/>
        </w:rPr>
        <w:t xml:space="preserve">Principles of Engagement when using Aboriginal Interpreters </w:t>
      </w:r>
      <w:r w:rsidR="003376AE">
        <w:rPr>
          <w:lang w:eastAsia="en-AU"/>
        </w:rPr>
        <w:t xml:space="preserve">to guide the use of interpreters when engaging with Aboriginal people. </w:t>
      </w:r>
    </w:p>
    <w:p w14:paraId="05CFBE72" w14:textId="180C9F1B" w:rsidR="003376AE" w:rsidRDefault="00782C10" w:rsidP="00EE0D2A">
      <w:pPr>
        <w:pStyle w:val="ListParagraph"/>
        <w:numPr>
          <w:ilvl w:val="1"/>
          <w:numId w:val="8"/>
        </w:numPr>
        <w:rPr>
          <w:lang w:eastAsia="en-AU"/>
        </w:rPr>
      </w:pPr>
      <w:r>
        <w:rPr>
          <w:lang w:eastAsia="en-AU"/>
        </w:rPr>
        <w:t>t</w:t>
      </w:r>
      <w:r w:rsidR="00EE0D2A">
        <w:rPr>
          <w:lang w:eastAsia="en-AU"/>
        </w:rPr>
        <w:t xml:space="preserve">he Aboriginal Information Program identified information requirements and developed fact sheets with clear, factual and relevant content about the onshore gas industry. The AIS translated the fact sheets into </w:t>
      </w:r>
      <w:r w:rsidR="00862B0B">
        <w:rPr>
          <w:lang w:eastAsia="en-AU"/>
        </w:rPr>
        <w:t>Aboriginal</w:t>
      </w:r>
      <w:r w:rsidR="004A64C1">
        <w:rPr>
          <w:lang w:eastAsia="en-AU"/>
        </w:rPr>
        <w:t xml:space="preserve"> 17</w:t>
      </w:r>
      <w:r w:rsidR="00EE0D2A">
        <w:rPr>
          <w:lang w:eastAsia="en-AU"/>
        </w:rPr>
        <w:t xml:space="preserve"> languages</w:t>
      </w:r>
      <w:r w:rsidR="00862B0B">
        <w:rPr>
          <w:lang w:eastAsia="en-AU"/>
        </w:rPr>
        <w:t>,</w:t>
      </w:r>
      <w:r w:rsidR="00EE0D2A">
        <w:rPr>
          <w:lang w:eastAsia="en-AU"/>
        </w:rPr>
        <w:t xml:space="preserve"> </w:t>
      </w:r>
      <w:r w:rsidR="00310C56">
        <w:rPr>
          <w:lang w:eastAsia="en-AU"/>
        </w:rPr>
        <w:t>which are publically available in audio files</w:t>
      </w:r>
      <w:r w:rsidR="00EE0D2A">
        <w:rPr>
          <w:lang w:eastAsia="en-AU"/>
        </w:rPr>
        <w:t>.</w:t>
      </w:r>
      <w:r w:rsidR="000B7380">
        <w:rPr>
          <w:lang w:eastAsia="en-AU"/>
        </w:rPr>
        <w:t xml:space="preserve"> Work to identify and respond to information needs in Aboriginal communities will continue over 5 years through the Community Engagement and Information Program.</w:t>
      </w:r>
    </w:p>
    <w:p w14:paraId="16F1DC4F" w14:textId="2A02BFF2" w:rsidR="000B6005" w:rsidRDefault="00CA458C" w:rsidP="000B6005">
      <w:pPr>
        <w:pStyle w:val="Heading1"/>
        <w:rPr>
          <w:lang w:eastAsia="en-AU"/>
        </w:rPr>
      </w:pPr>
      <w:r>
        <w:rPr>
          <w:lang w:eastAsia="en-AU"/>
        </w:rPr>
        <w:t>Ongoing monitoring into the future</w:t>
      </w:r>
    </w:p>
    <w:p w14:paraId="44BC7CF9" w14:textId="0BE0340E" w:rsidR="00756CE2" w:rsidRDefault="00756CE2" w:rsidP="00756CE2">
      <w:pPr>
        <w:pStyle w:val="ListParagraph"/>
        <w:numPr>
          <w:ilvl w:val="0"/>
          <w:numId w:val="8"/>
        </w:numPr>
        <w:rPr>
          <w:lang w:eastAsia="en-AU"/>
        </w:rPr>
      </w:pPr>
      <w:r>
        <w:rPr>
          <w:lang w:eastAsia="en-AU"/>
        </w:rPr>
        <w:t>Working with businesses and industries in the Territory</w:t>
      </w:r>
      <w:r w:rsidR="00DE5B87">
        <w:rPr>
          <w:lang w:eastAsia="en-AU"/>
        </w:rPr>
        <w:t>,</w:t>
      </w:r>
      <w:r>
        <w:rPr>
          <w:lang w:eastAsia="en-AU"/>
        </w:rPr>
        <w:t xml:space="preserve"> the NT Government has introduced a local benefit reporting mechanism that captures </w:t>
      </w:r>
      <w:r>
        <w:t>agreed local benefit objectives and effective performance measures, including specific outcomes for Aboriginal people. The NT Government will also publish an annual industry-level Local Benefit Report.</w:t>
      </w:r>
    </w:p>
    <w:p w14:paraId="642BEDE5" w14:textId="0956B6FA" w:rsidR="006F33D1" w:rsidRDefault="006F33D1" w:rsidP="00A87F3E">
      <w:pPr>
        <w:pStyle w:val="ListParagraph"/>
        <w:numPr>
          <w:ilvl w:val="0"/>
          <w:numId w:val="8"/>
        </w:numPr>
        <w:rPr>
          <w:lang w:eastAsia="en-AU"/>
        </w:rPr>
      </w:pPr>
      <w:r>
        <w:t xml:space="preserve">The NT Government will continue to consider mechanisms to build relationships with the community, including ongoing engagement and monitoring of community sentiment, the planned monitoring framework outlined in the </w:t>
      </w:r>
      <w:r w:rsidR="00587F4F">
        <w:t>Strategic Regional Environmental Baseline Assessment (SREBA) social, cultural and economic</w:t>
      </w:r>
      <w:r w:rsidR="00310C56">
        <w:t xml:space="preserve"> study</w:t>
      </w:r>
      <w:r>
        <w:t xml:space="preserve"> and the Community Engagement and Information Program being delivered by the CSIRO.</w:t>
      </w:r>
    </w:p>
    <w:p w14:paraId="045244EF" w14:textId="52572F3D" w:rsidR="00E524DE" w:rsidRDefault="00310C56" w:rsidP="00A87F3E">
      <w:pPr>
        <w:pStyle w:val="ListParagraph"/>
        <w:numPr>
          <w:ilvl w:val="0"/>
          <w:numId w:val="8"/>
        </w:numPr>
        <w:rPr>
          <w:lang w:eastAsia="en-AU"/>
        </w:rPr>
      </w:pPr>
      <w:r>
        <w:t xml:space="preserve">The </w:t>
      </w:r>
      <w:r w:rsidR="00E524DE">
        <w:t>D</w:t>
      </w:r>
      <w:r>
        <w:t xml:space="preserve">epartment of </w:t>
      </w:r>
      <w:r w:rsidR="00E524DE">
        <w:t>I</w:t>
      </w:r>
      <w:r>
        <w:t xml:space="preserve">ndustry, </w:t>
      </w:r>
      <w:r w:rsidR="00E524DE">
        <w:t>T</w:t>
      </w:r>
      <w:r>
        <w:t xml:space="preserve">ourism and </w:t>
      </w:r>
      <w:r w:rsidR="00E524DE">
        <w:t>T</w:t>
      </w:r>
      <w:r>
        <w:t>rade</w:t>
      </w:r>
      <w:r w:rsidR="00E524DE">
        <w:t xml:space="preserve"> </w:t>
      </w:r>
      <w:r w:rsidR="00932D70">
        <w:t xml:space="preserve">(DITT) </w:t>
      </w:r>
      <w:r w:rsidR="00E524DE">
        <w:t xml:space="preserve">will monitor onshore </w:t>
      </w:r>
      <w:r w:rsidR="009633D2">
        <w:t xml:space="preserve">gas </w:t>
      </w:r>
      <w:r w:rsidR="00E524DE">
        <w:t xml:space="preserve">industry activity and consult with stakeholders over the course of each phase of the industry’s development to </w:t>
      </w:r>
      <w:r w:rsidR="00E524DE">
        <w:lastRenderedPageBreak/>
        <w:t>ensure local content outcomes and local economic and employment opportunities are being identified and realised</w:t>
      </w:r>
      <w:r w:rsidR="00B57432">
        <w:t>.</w:t>
      </w:r>
    </w:p>
    <w:p w14:paraId="12280FF1" w14:textId="43F9D0E0" w:rsidR="006606A0" w:rsidRDefault="00BE2478" w:rsidP="00A87F3E">
      <w:pPr>
        <w:pStyle w:val="ListParagraph"/>
        <w:numPr>
          <w:ilvl w:val="0"/>
          <w:numId w:val="8"/>
        </w:numPr>
        <w:rPr>
          <w:lang w:eastAsia="en-AU"/>
        </w:rPr>
      </w:pPr>
      <w:r>
        <w:rPr>
          <w:lang w:eastAsia="en-AU"/>
        </w:rPr>
        <w:t>The ongoing new</w:t>
      </w:r>
      <w:r w:rsidR="006606A0">
        <w:rPr>
          <w:lang w:eastAsia="en-AU"/>
        </w:rPr>
        <w:t xml:space="preserve"> budget reporting</w:t>
      </w:r>
      <w:r>
        <w:rPr>
          <w:lang w:eastAsia="en-AU"/>
        </w:rPr>
        <w:t xml:space="preserve"> system, which identifies where revenue is generated and spent, </w:t>
      </w:r>
      <w:r w:rsidR="00750291">
        <w:rPr>
          <w:lang w:eastAsia="en-AU"/>
        </w:rPr>
        <w:t xml:space="preserve">in conjunction with priorities identified by Regional Development Framework </w:t>
      </w:r>
      <w:r>
        <w:rPr>
          <w:lang w:eastAsia="en-AU"/>
        </w:rPr>
        <w:t xml:space="preserve">will </w:t>
      </w:r>
      <w:r w:rsidR="00750291">
        <w:rPr>
          <w:lang w:eastAsia="en-AU"/>
        </w:rPr>
        <w:t xml:space="preserve">continue to </w:t>
      </w:r>
      <w:r>
        <w:rPr>
          <w:lang w:eastAsia="en-AU"/>
        </w:rPr>
        <w:t>inform local decision making</w:t>
      </w:r>
      <w:r w:rsidR="00750291">
        <w:rPr>
          <w:lang w:eastAsia="en-AU"/>
        </w:rPr>
        <w:t xml:space="preserve"> agreements.</w:t>
      </w:r>
    </w:p>
    <w:p w14:paraId="2D2172AC" w14:textId="1FA5DD1B" w:rsidR="003124B1" w:rsidRDefault="003124B1" w:rsidP="00A87F3E">
      <w:pPr>
        <w:pStyle w:val="ListParagraph"/>
        <w:numPr>
          <w:ilvl w:val="0"/>
          <w:numId w:val="8"/>
        </w:numPr>
        <w:rPr>
          <w:lang w:eastAsia="en-AU"/>
        </w:rPr>
      </w:pPr>
      <w:r>
        <w:rPr>
          <w:lang w:eastAsia="en-AU"/>
        </w:rPr>
        <w:t xml:space="preserve">The NT Government will use baseline data on housing demand and updates to the Northern Territory Land and Property Transactions Report to monitor housing demand, including analysing property sale price activities and the volume of transfers to communities in the Beetaloo region. </w:t>
      </w:r>
    </w:p>
    <w:p w14:paraId="632B3706" w14:textId="77777777" w:rsidR="000B6005" w:rsidRDefault="000B6005" w:rsidP="000B6005">
      <w:pPr>
        <w:pStyle w:val="Heading1"/>
        <w:rPr>
          <w:lang w:eastAsia="en-AU"/>
        </w:rPr>
      </w:pPr>
      <w:r>
        <w:rPr>
          <w:lang w:eastAsia="en-AU"/>
        </w:rPr>
        <w:t>Where can I find more information?</w:t>
      </w:r>
    </w:p>
    <w:p w14:paraId="0BEAD5D9" w14:textId="74116A9A" w:rsidR="000B6005" w:rsidRDefault="00782C10" w:rsidP="000B6005">
      <w:pPr>
        <w:rPr>
          <w:lang w:eastAsia="en-AU"/>
        </w:rPr>
      </w:pPr>
      <w:r>
        <w:rPr>
          <w:lang w:eastAsia="en-AU"/>
        </w:rPr>
        <w:t>Find out more about these</w:t>
      </w:r>
      <w:r w:rsidR="001357DE">
        <w:rPr>
          <w:lang w:eastAsia="en-AU"/>
        </w:rPr>
        <w:t xml:space="preserve"> reforms in Chapter 10</w:t>
      </w:r>
      <w:r w:rsidR="000B6005">
        <w:rPr>
          <w:lang w:eastAsia="en-AU"/>
        </w:rPr>
        <w:t xml:space="preserve"> of the Scientific Inquiry into Hydraulic Fracturing Final Implementation Report.</w:t>
      </w:r>
    </w:p>
    <w:p w14:paraId="4B1A9230" w14:textId="3B12E2A9" w:rsidR="001357DE" w:rsidRPr="001357DE" w:rsidRDefault="001357DE" w:rsidP="000B6005">
      <w:pPr>
        <w:rPr>
          <w:b/>
          <w:lang w:eastAsia="en-AU"/>
        </w:rPr>
      </w:pPr>
      <w:r>
        <w:rPr>
          <w:lang w:eastAsia="en-AU"/>
        </w:rPr>
        <w:t xml:space="preserve">The NT Government will produce an annual Local Benefit Report which will be available to the public on the NT Government website at </w:t>
      </w:r>
      <w:hyperlink r:id="rId9" w:history="1">
        <w:r w:rsidRPr="00576E89">
          <w:rPr>
            <w:rStyle w:val="Hyperlink"/>
            <w:b/>
            <w:lang w:eastAsia="en-AU"/>
          </w:rPr>
          <w:t>nt.gov.au</w:t>
        </w:r>
      </w:hyperlink>
    </w:p>
    <w:p w14:paraId="556729A8" w14:textId="5467DB3A" w:rsidR="000B6005" w:rsidRDefault="000B6005" w:rsidP="000B6005">
      <w:pPr>
        <w:rPr>
          <w:lang w:eastAsia="en-AU"/>
        </w:rPr>
      </w:pPr>
      <w:r>
        <w:rPr>
          <w:lang w:eastAsia="en-AU"/>
        </w:rPr>
        <w:t xml:space="preserve">NT Government decisions about </w:t>
      </w:r>
      <w:r w:rsidR="00862B0B">
        <w:rPr>
          <w:lang w:eastAsia="en-AU"/>
        </w:rPr>
        <w:t>EMPs</w:t>
      </w:r>
      <w:r w:rsidR="000F3AF7">
        <w:rPr>
          <w:lang w:eastAsia="en-AU"/>
        </w:rPr>
        <w:t>, including social impact assessments,</w:t>
      </w:r>
      <w:r>
        <w:rPr>
          <w:lang w:eastAsia="en-AU"/>
        </w:rPr>
        <w:t xml:space="preserve"> are available to the public on the DEPWS website at </w:t>
      </w:r>
      <w:hyperlink r:id="rId10" w:history="1">
        <w:r w:rsidRPr="00576E89">
          <w:rPr>
            <w:rStyle w:val="Hyperlink"/>
            <w:b/>
            <w:lang w:eastAsia="en-AU"/>
          </w:rPr>
          <w:t>depws.nt.gov.au</w:t>
        </w:r>
      </w:hyperlink>
    </w:p>
    <w:p w14:paraId="4024C09D" w14:textId="4D2BF00B" w:rsidR="00587F4F" w:rsidRDefault="00587F4F" w:rsidP="00587F4F">
      <w:pPr>
        <w:rPr>
          <w:lang w:eastAsia="en-AU"/>
        </w:rPr>
      </w:pPr>
      <w:r>
        <w:rPr>
          <w:lang w:eastAsia="en-AU"/>
        </w:rPr>
        <w:t xml:space="preserve">The SREBA baseline reports, technical reports and data catalogue, are available at </w:t>
      </w:r>
      <w:hyperlink r:id="rId11" w:history="1">
        <w:r w:rsidRPr="00576E89">
          <w:rPr>
            <w:rStyle w:val="Hyperlink"/>
            <w:b/>
            <w:lang w:eastAsia="en-AU"/>
          </w:rPr>
          <w:t>depws.nt.gov.au/sreba</w:t>
        </w:r>
      </w:hyperlink>
    </w:p>
    <w:p w14:paraId="6C432EE1" w14:textId="35FA4159" w:rsidR="001357DE" w:rsidRPr="001357DE" w:rsidRDefault="000B6005" w:rsidP="000B6005">
      <w:pPr>
        <w:rPr>
          <w:b/>
        </w:rPr>
      </w:pPr>
      <w:r>
        <w:rPr>
          <w:lang w:eastAsia="en-AU"/>
        </w:rPr>
        <w:t>Fact sheets and audio files in Aboriginal languages</w:t>
      </w:r>
      <w:r>
        <w:rPr>
          <w:i/>
          <w:lang w:eastAsia="en-AU"/>
        </w:rPr>
        <w:t xml:space="preserve"> </w:t>
      </w:r>
      <w:r>
        <w:rPr>
          <w:lang w:eastAsia="en-AU"/>
        </w:rPr>
        <w:t xml:space="preserve">are available </w:t>
      </w:r>
      <w:r>
        <w:t xml:space="preserve">at </w:t>
      </w:r>
      <w:hyperlink r:id="rId12" w:history="1">
        <w:r w:rsidRPr="00576E89">
          <w:rPr>
            <w:rStyle w:val="Hyperlink"/>
            <w:b/>
          </w:rPr>
          <w:t>hydraulicfracturing.nt.gov.au</w:t>
        </w:r>
      </w:hyperlink>
    </w:p>
    <w:p w14:paraId="22DB3EC6" w14:textId="77777777" w:rsidR="00587F4F" w:rsidRPr="003C43FF" w:rsidRDefault="00587F4F" w:rsidP="00587F4F">
      <w:pPr>
        <w:rPr>
          <w:lang w:eastAsia="en-AU"/>
        </w:rPr>
      </w:pPr>
      <w:r>
        <w:rPr>
          <w:lang w:eastAsia="en-AU"/>
        </w:rPr>
        <w:t xml:space="preserve">To report regulatory breaches by the onshore gas industry, anyone can make a toll free, anonymous call to the Onshore Gas Non-Compliance Hotline. The hotline is available 24 hours a day on </w:t>
      </w:r>
      <w:r w:rsidRPr="00D510BD">
        <w:rPr>
          <w:b/>
          <w:lang w:eastAsia="en-AU"/>
        </w:rPr>
        <w:t>1800 413 889</w:t>
      </w:r>
      <w:r>
        <w:rPr>
          <w:lang w:eastAsia="en-AU"/>
        </w:rPr>
        <w:t>.</w:t>
      </w:r>
    </w:p>
    <w:p w14:paraId="5253F2F9" w14:textId="77777777" w:rsidR="002D4279" w:rsidRDefault="002D4279">
      <w:bookmarkStart w:id="0" w:name="_GoBack"/>
      <w:bookmarkEnd w:id="0"/>
    </w:p>
    <w:sectPr w:rsidR="002D4279" w:rsidSect="00A567EE">
      <w:headerReference w:type="default" r:id="rId13"/>
      <w:footerReference w:type="default" r:id="rId14"/>
      <w:headerReference w:type="first" r:id="rId15"/>
      <w:footerReference w:type="first" r:id="rId16"/>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52143" w14:textId="77777777" w:rsidR="000414B0" w:rsidRDefault="000414B0" w:rsidP="000B6005">
      <w:pPr>
        <w:spacing w:after="0"/>
      </w:pPr>
      <w:r>
        <w:separator/>
      </w:r>
    </w:p>
  </w:endnote>
  <w:endnote w:type="continuationSeparator" w:id="0">
    <w:p w14:paraId="4AE70AC6" w14:textId="77777777" w:rsidR="000414B0" w:rsidRDefault="000414B0" w:rsidP="000B60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8CE6" w14:textId="77777777" w:rsidR="00983000" w:rsidRDefault="00816C5E"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041A316F" w14:textId="77777777" w:rsidTr="00D47DC7">
      <w:trPr>
        <w:cantSplit/>
        <w:trHeight w:hRule="exact" w:val="850"/>
      </w:trPr>
      <w:tc>
        <w:tcPr>
          <w:tcW w:w="10318" w:type="dxa"/>
          <w:vAlign w:val="bottom"/>
        </w:tcPr>
        <w:p w14:paraId="4A7B1977" w14:textId="5EBB6298" w:rsidR="00D47DC7" w:rsidRPr="00CE6614" w:rsidRDefault="00816C5E"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2E0706" w:rsidRPr="00CE6614">
            <w:rPr>
              <w:rStyle w:val="PageNumber"/>
            </w:rPr>
            <w:t xml:space="preserve"> </w:t>
          </w:r>
        </w:p>
        <w:p w14:paraId="6F8CB575" w14:textId="7C91C67A" w:rsidR="00CA36A0" w:rsidRPr="00AC4488" w:rsidRDefault="002E0706"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16C5E">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16C5E">
            <w:rPr>
              <w:rStyle w:val="PageNumber"/>
              <w:noProof/>
            </w:rPr>
            <w:t>3</w:t>
          </w:r>
          <w:r w:rsidRPr="00AC4488">
            <w:rPr>
              <w:rStyle w:val="PageNumber"/>
            </w:rPr>
            <w:fldChar w:fldCharType="end"/>
          </w:r>
        </w:p>
      </w:tc>
    </w:tr>
  </w:tbl>
  <w:p w14:paraId="7BE72066" w14:textId="77777777" w:rsidR="00CA36A0" w:rsidRPr="00B11C67" w:rsidRDefault="00816C5E"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FAFB" w14:textId="77777777" w:rsidR="00D15D88" w:rsidRDefault="00816C5E"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749A425B" w14:textId="77777777" w:rsidTr="008921B4">
      <w:trPr>
        <w:cantSplit/>
        <w:trHeight w:hRule="exact" w:val="1134"/>
      </w:trPr>
      <w:tc>
        <w:tcPr>
          <w:tcW w:w="7767" w:type="dxa"/>
          <w:vAlign w:val="bottom"/>
        </w:tcPr>
        <w:p w14:paraId="1E696228" w14:textId="1DCBAF7C" w:rsidR="00D47DC7" w:rsidRPr="00CE6614" w:rsidRDefault="00816C5E"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2E0706" w:rsidRPr="00CE6614">
            <w:rPr>
              <w:rStyle w:val="PageNumber"/>
            </w:rPr>
            <w:t xml:space="preserve"> </w:t>
          </w:r>
        </w:p>
        <w:p w14:paraId="4BE75B24" w14:textId="1009EFE5" w:rsidR="0071700C" w:rsidRPr="00CE30CF" w:rsidRDefault="002E0706"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16C5E">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16C5E">
            <w:rPr>
              <w:rStyle w:val="PageNumber"/>
              <w:noProof/>
            </w:rPr>
            <w:t>3</w:t>
          </w:r>
          <w:r w:rsidRPr="00AC4488">
            <w:rPr>
              <w:rStyle w:val="PageNumber"/>
            </w:rPr>
            <w:fldChar w:fldCharType="end"/>
          </w:r>
        </w:p>
      </w:tc>
      <w:tc>
        <w:tcPr>
          <w:tcW w:w="2551" w:type="dxa"/>
          <w:vAlign w:val="bottom"/>
        </w:tcPr>
        <w:p w14:paraId="05A06047" w14:textId="77777777" w:rsidR="0071700C" w:rsidRPr="001E14EB" w:rsidRDefault="002E0706" w:rsidP="0071700C">
          <w:pPr>
            <w:spacing w:after="0"/>
            <w:jc w:val="right"/>
          </w:pPr>
          <w:r>
            <w:rPr>
              <w:noProof/>
              <w:lang w:eastAsia="en-AU"/>
            </w:rPr>
            <w:drawing>
              <wp:inline distT="0" distB="0" distL="0" distR="0" wp14:anchorId="1321876D" wp14:editId="08551A72">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CF09099" w14:textId="77777777" w:rsidR="0089368E" w:rsidRPr="00661BE1" w:rsidRDefault="00816C5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5F6A6" w14:textId="77777777" w:rsidR="000414B0" w:rsidRDefault="000414B0" w:rsidP="000B6005">
      <w:pPr>
        <w:spacing w:after="0"/>
      </w:pPr>
      <w:r>
        <w:separator/>
      </w:r>
    </w:p>
  </w:footnote>
  <w:footnote w:type="continuationSeparator" w:id="0">
    <w:p w14:paraId="7A641202" w14:textId="77777777" w:rsidR="000414B0" w:rsidRDefault="000414B0" w:rsidP="000B60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7E10F" w14:textId="77A730D7" w:rsidR="00983000" w:rsidRPr="00162207" w:rsidRDefault="00816C5E" w:rsidP="008C70BB">
    <w:pPr>
      <w:pStyle w:val="Header"/>
      <w:tabs>
        <w:tab w:val="clear" w:pos="9638"/>
        <w:tab w:val="right" w:pos="10318"/>
      </w:tabs>
    </w:pPr>
    <w:sdt>
      <w:sdtPr>
        <w:alias w:val="Title"/>
        <w:tag w:val="Title"/>
        <w:id w:val="-2113969407"/>
        <w:dataBinding w:prefixMappings="xmlns:ns0='http://purl.org/dc/elements/1.1/' xmlns:ns1='http://schemas.openxmlformats.org/package/2006/metadata/core-properties' " w:xpath="/ns1:coreProperties[1]/ns0:title[1]" w:storeItemID="{6C3C8BC8-F283-45AE-878A-BAB7291924A1}"/>
        <w:text/>
      </w:sdtPr>
      <w:sdtEndPr/>
      <w:sdtContent>
        <w:r w:rsidR="00CA458C">
          <w:t>Chapter summaries: Ensuring local communities receive economic benefits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dataBinding w:prefixMappings="xmlns:ns0='http://purl.org/dc/elements/1.1/' xmlns:ns1='http://schemas.openxmlformats.org/package/2006/metadata/core-properties' " w:xpath="/ns1:coreProperties[1]/ns0:title[1]" w:storeItemID="{6C3C8BC8-F283-45AE-878A-BAB7291924A1}"/>
      <w:text/>
    </w:sdtPr>
    <w:sdtEndPr/>
    <w:sdtContent>
      <w:p w14:paraId="7225FC7A" w14:textId="3A746070" w:rsidR="00E54F9E" w:rsidRDefault="00CA458C" w:rsidP="00435082">
        <w:pPr>
          <w:pStyle w:val="Title"/>
        </w:pPr>
        <w:r>
          <w:t>Chapter summaries: Ensuring local communities receive economic benefits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1C"/>
    <w:multiLevelType w:val="hybridMultilevel"/>
    <w:tmpl w:val="CF125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34D28"/>
    <w:multiLevelType w:val="hybridMultilevel"/>
    <w:tmpl w:val="86E4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509F8"/>
    <w:multiLevelType w:val="hybridMultilevel"/>
    <w:tmpl w:val="4E3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60F4F"/>
    <w:multiLevelType w:val="hybridMultilevel"/>
    <w:tmpl w:val="0024B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F2896"/>
    <w:multiLevelType w:val="hybridMultilevel"/>
    <w:tmpl w:val="64688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233FB"/>
    <w:multiLevelType w:val="hybridMultilevel"/>
    <w:tmpl w:val="13B8E394"/>
    <w:lvl w:ilvl="0" w:tplc="0C09000F">
      <w:start w:val="1"/>
      <w:numFmt w:val="decimal"/>
      <w:lvlText w:val="%1."/>
      <w:lvlJc w:val="left"/>
      <w:pPr>
        <w:ind w:left="720" w:hanging="360"/>
      </w:pPr>
      <w:rPr>
        <w:rFonts w:hint="default"/>
      </w:rPr>
    </w:lvl>
    <w:lvl w:ilvl="1" w:tplc="0C090001">
      <w:start w:val="1"/>
      <w:numFmt w:val="bullet"/>
      <w:lvlText w:val=""/>
      <w:lvlJc w:val="left"/>
      <w:pPr>
        <w:ind w:left="785"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E24417"/>
    <w:multiLevelType w:val="hybridMultilevel"/>
    <w:tmpl w:val="FB348FE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727C4506"/>
    <w:multiLevelType w:val="hybridMultilevel"/>
    <w:tmpl w:val="5EECE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05"/>
    <w:rsid w:val="000414B0"/>
    <w:rsid w:val="0005000A"/>
    <w:rsid w:val="000B6005"/>
    <w:rsid w:val="000B7380"/>
    <w:rsid w:val="000F3AF7"/>
    <w:rsid w:val="001357DE"/>
    <w:rsid w:val="00144D04"/>
    <w:rsid w:val="00153BC5"/>
    <w:rsid w:val="00193650"/>
    <w:rsid w:val="001A45F7"/>
    <w:rsid w:val="001A65AC"/>
    <w:rsid w:val="0023108F"/>
    <w:rsid w:val="002D4279"/>
    <w:rsid w:val="002E0706"/>
    <w:rsid w:val="00310C56"/>
    <w:rsid w:val="003124B1"/>
    <w:rsid w:val="003376AE"/>
    <w:rsid w:val="0036073E"/>
    <w:rsid w:val="003A4850"/>
    <w:rsid w:val="00460F51"/>
    <w:rsid w:val="00483E96"/>
    <w:rsid w:val="004A64C1"/>
    <w:rsid w:val="00576E89"/>
    <w:rsid w:val="00587F4F"/>
    <w:rsid w:val="00591D25"/>
    <w:rsid w:val="0062230E"/>
    <w:rsid w:val="006537A1"/>
    <w:rsid w:val="0065634A"/>
    <w:rsid w:val="006606A0"/>
    <w:rsid w:val="006678A3"/>
    <w:rsid w:val="006853F0"/>
    <w:rsid w:val="00685F76"/>
    <w:rsid w:val="006B7DDA"/>
    <w:rsid w:val="006C7129"/>
    <w:rsid w:val="006F33D1"/>
    <w:rsid w:val="007079E5"/>
    <w:rsid w:val="00750291"/>
    <w:rsid w:val="00751DA6"/>
    <w:rsid w:val="00756CE2"/>
    <w:rsid w:val="007611FA"/>
    <w:rsid w:val="0078053A"/>
    <w:rsid w:val="00782C10"/>
    <w:rsid w:val="00816C5E"/>
    <w:rsid w:val="00830419"/>
    <w:rsid w:val="00835982"/>
    <w:rsid w:val="00862B0B"/>
    <w:rsid w:val="008968BD"/>
    <w:rsid w:val="00931C85"/>
    <w:rsid w:val="00932D70"/>
    <w:rsid w:val="009633D2"/>
    <w:rsid w:val="00A3038B"/>
    <w:rsid w:val="00A767A3"/>
    <w:rsid w:val="00A87F3E"/>
    <w:rsid w:val="00AA1051"/>
    <w:rsid w:val="00B57432"/>
    <w:rsid w:val="00B823FB"/>
    <w:rsid w:val="00B945DB"/>
    <w:rsid w:val="00BB7C9D"/>
    <w:rsid w:val="00BD0031"/>
    <w:rsid w:val="00BE2478"/>
    <w:rsid w:val="00C623C0"/>
    <w:rsid w:val="00C75FB4"/>
    <w:rsid w:val="00CA458C"/>
    <w:rsid w:val="00CE3C3E"/>
    <w:rsid w:val="00D052EF"/>
    <w:rsid w:val="00D828C6"/>
    <w:rsid w:val="00DE5B87"/>
    <w:rsid w:val="00E1617D"/>
    <w:rsid w:val="00E319CF"/>
    <w:rsid w:val="00E42695"/>
    <w:rsid w:val="00E524DE"/>
    <w:rsid w:val="00E930F2"/>
    <w:rsid w:val="00ED0DD1"/>
    <w:rsid w:val="00EE0D2A"/>
    <w:rsid w:val="00EF68A7"/>
    <w:rsid w:val="00F46486"/>
    <w:rsid w:val="00FB2D30"/>
    <w:rsid w:val="00FD5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017F80"/>
  <w15:chartTrackingRefBased/>
  <w15:docId w15:val="{8AE6327C-383D-465C-8E1F-C5F23642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005"/>
    <w:pPr>
      <w:spacing w:after="200" w:line="240" w:lineRule="auto"/>
    </w:pPr>
    <w:rPr>
      <w:rFonts w:ascii="Lato" w:eastAsia="Calibri" w:hAnsi="Lato" w:cs="Times New Roman"/>
    </w:rPr>
  </w:style>
  <w:style w:type="paragraph" w:styleId="Heading1">
    <w:name w:val="heading 1"/>
    <w:basedOn w:val="Normal"/>
    <w:next w:val="Normal"/>
    <w:link w:val="Heading1Char"/>
    <w:uiPriority w:val="2"/>
    <w:qFormat/>
    <w:rsid w:val="000B6005"/>
    <w:pPr>
      <w:keepNext/>
      <w:keepLines/>
      <w:spacing w:before="240"/>
      <w:outlineLvl w:val="0"/>
    </w:pPr>
    <w:rPr>
      <w:rFonts w:ascii="Lato Semibold" w:eastAsia="Times New Roman" w:hAnsi="Lato Semibold"/>
      <w:color w:val="1F1F5F"/>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B6005"/>
    <w:rPr>
      <w:rFonts w:ascii="Lato Semibold" w:eastAsia="Times New Roman" w:hAnsi="Lato Semibold" w:cs="Times New Roman"/>
      <w:color w:val="1F1F5F"/>
      <w:kern w:val="32"/>
      <w:sz w:val="36"/>
      <w:szCs w:val="32"/>
    </w:rPr>
  </w:style>
  <w:style w:type="paragraph" w:styleId="Title">
    <w:name w:val="Title"/>
    <w:basedOn w:val="Normal"/>
    <w:next w:val="Normal"/>
    <w:link w:val="TitleChar"/>
    <w:qFormat/>
    <w:rsid w:val="000B6005"/>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0B6005"/>
    <w:rPr>
      <w:rFonts w:ascii="Lato Semibold" w:eastAsia="Times New Roman" w:hAnsi="Lato Semibold" w:cs="Times New Roman"/>
      <w:bCs/>
      <w:color w:val="1F1F5F"/>
      <w:kern w:val="32"/>
      <w:sz w:val="60"/>
      <w:szCs w:val="64"/>
    </w:rPr>
  </w:style>
  <w:style w:type="paragraph" w:styleId="Header">
    <w:name w:val="header"/>
    <w:aliases w:val="Page header"/>
    <w:basedOn w:val="Normal"/>
    <w:next w:val="Normal"/>
    <w:link w:val="HeaderChar"/>
    <w:uiPriority w:val="8"/>
    <w:rsid w:val="000B6005"/>
    <w:pPr>
      <w:tabs>
        <w:tab w:val="right" w:pos="9638"/>
      </w:tabs>
      <w:spacing w:after="240"/>
      <w:jc w:val="right"/>
    </w:pPr>
  </w:style>
  <w:style w:type="character" w:customStyle="1" w:styleId="HeaderChar">
    <w:name w:val="Header Char"/>
    <w:aliases w:val="Page header Char"/>
    <w:basedOn w:val="DefaultParagraphFont"/>
    <w:link w:val="Header"/>
    <w:uiPriority w:val="8"/>
    <w:rsid w:val="000B6005"/>
    <w:rPr>
      <w:rFonts w:ascii="Lato" w:eastAsia="Calibri" w:hAnsi="Lato" w:cs="Times New Roman"/>
    </w:rPr>
  </w:style>
  <w:style w:type="paragraph" w:styleId="Footer">
    <w:name w:val="footer"/>
    <w:basedOn w:val="Normal"/>
    <w:link w:val="FooterChar"/>
    <w:uiPriority w:val="99"/>
    <w:semiHidden/>
    <w:rsid w:val="000B6005"/>
    <w:pPr>
      <w:tabs>
        <w:tab w:val="center" w:pos="4513"/>
        <w:tab w:val="right" w:pos="9026"/>
      </w:tabs>
      <w:spacing w:after="0"/>
    </w:pPr>
  </w:style>
  <w:style w:type="character" w:customStyle="1" w:styleId="FooterChar">
    <w:name w:val="Footer Char"/>
    <w:basedOn w:val="DefaultParagraphFont"/>
    <w:link w:val="Footer"/>
    <w:uiPriority w:val="99"/>
    <w:semiHidden/>
    <w:rsid w:val="000B6005"/>
    <w:rPr>
      <w:rFonts w:ascii="Lato" w:eastAsia="Calibri" w:hAnsi="Lato" w:cs="Times New Roman"/>
    </w:rPr>
  </w:style>
  <w:style w:type="paragraph" w:styleId="ListParagraph">
    <w:name w:val="List Paragraph"/>
    <w:basedOn w:val="BlockText"/>
    <w:uiPriority w:val="34"/>
    <w:qFormat/>
    <w:rsid w:val="000B6005"/>
    <w:pPr>
      <w:pBdr>
        <w:top w:val="none" w:sz="0" w:space="0" w:color="auto"/>
        <w:left w:val="none" w:sz="0" w:space="0" w:color="auto"/>
        <w:bottom w:val="none" w:sz="0" w:space="0" w:color="auto"/>
        <w:right w:val="none" w:sz="0" w:space="0" w:color="auto"/>
      </w:pBdr>
      <w:spacing w:after="120"/>
      <w:ind w:left="0" w:right="0"/>
    </w:pPr>
    <w:rPr>
      <w:rFonts w:ascii="Lato" w:hAnsi="Lato" w:cs="Times New Roman"/>
      <w:i w:val="0"/>
      <w:color w:val="auto"/>
    </w:rPr>
  </w:style>
  <w:style w:type="character" w:styleId="PageNumber">
    <w:name w:val="page number"/>
    <w:aliases w:val="Page number"/>
    <w:basedOn w:val="DefaultParagraphFont"/>
    <w:uiPriority w:val="8"/>
    <w:rsid w:val="000B6005"/>
    <w:rPr>
      <w:rFonts w:ascii="Lato" w:hAnsi="Lato"/>
      <w:sz w:val="19"/>
    </w:rPr>
  </w:style>
  <w:style w:type="paragraph" w:customStyle="1" w:styleId="Hidden">
    <w:name w:val="Hidden"/>
    <w:basedOn w:val="Normal"/>
    <w:uiPriority w:val="9"/>
    <w:rsid w:val="000B6005"/>
    <w:pPr>
      <w:spacing w:after="0"/>
    </w:pPr>
    <w:rPr>
      <w:sz w:val="2"/>
      <w:szCs w:val="2"/>
    </w:rPr>
  </w:style>
  <w:style w:type="paragraph" w:styleId="BlockText">
    <w:name w:val="Block Text"/>
    <w:basedOn w:val="Normal"/>
    <w:uiPriority w:val="99"/>
    <w:semiHidden/>
    <w:unhideWhenUsed/>
    <w:rsid w:val="000B600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0F3AF7"/>
    <w:rPr>
      <w:sz w:val="16"/>
      <w:szCs w:val="16"/>
    </w:rPr>
  </w:style>
  <w:style w:type="paragraph" w:styleId="CommentText">
    <w:name w:val="annotation text"/>
    <w:basedOn w:val="Normal"/>
    <w:link w:val="CommentTextChar"/>
    <w:uiPriority w:val="99"/>
    <w:semiHidden/>
    <w:unhideWhenUsed/>
    <w:rsid w:val="000F3AF7"/>
    <w:rPr>
      <w:sz w:val="20"/>
      <w:szCs w:val="20"/>
    </w:rPr>
  </w:style>
  <w:style w:type="character" w:customStyle="1" w:styleId="CommentTextChar">
    <w:name w:val="Comment Text Char"/>
    <w:basedOn w:val="DefaultParagraphFont"/>
    <w:link w:val="CommentText"/>
    <w:uiPriority w:val="99"/>
    <w:semiHidden/>
    <w:rsid w:val="000F3AF7"/>
    <w:rPr>
      <w:rFonts w:ascii="Lato" w:eastAsia="Calibri" w:hAnsi="Lato" w:cs="Times New Roman"/>
      <w:sz w:val="20"/>
      <w:szCs w:val="20"/>
    </w:rPr>
  </w:style>
  <w:style w:type="paragraph" w:styleId="CommentSubject">
    <w:name w:val="annotation subject"/>
    <w:basedOn w:val="CommentText"/>
    <w:next w:val="CommentText"/>
    <w:link w:val="CommentSubjectChar"/>
    <w:uiPriority w:val="99"/>
    <w:semiHidden/>
    <w:unhideWhenUsed/>
    <w:rsid w:val="000F3AF7"/>
    <w:rPr>
      <w:b/>
      <w:bCs/>
    </w:rPr>
  </w:style>
  <w:style w:type="character" w:customStyle="1" w:styleId="CommentSubjectChar">
    <w:name w:val="Comment Subject Char"/>
    <w:basedOn w:val="CommentTextChar"/>
    <w:link w:val="CommentSubject"/>
    <w:uiPriority w:val="99"/>
    <w:semiHidden/>
    <w:rsid w:val="000F3AF7"/>
    <w:rPr>
      <w:rFonts w:ascii="Lato" w:eastAsia="Calibri" w:hAnsi="Lato" w:cs="Times New Roman"/>
      <w:b/>
      <w:bCs/>
      <w:sz w:val="20"/>
      <w:szCs w:val="20"/>
    </w:rPr>
  </w:style>
  <w:style w:type="paragraph" w:styleId="BalloonText">
    <w:name w:val="Balloon Text"/>
    <w:basedOn w:val="Normal"/>
    <w:link w:val="BalloonTextChar"/>
    <w:uiPriority w:val="99"/>
    <w:semiHidden/>
    <w:unhideWhenUsed/>
    <w:rsid w:val="000F3AF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AF7"/>
    <w:rPr>
      <w:rFonts w:ascii="Segoe UI" w:eastAsia="Calibri" w:hAnsi="Segoe UI" w:cs="Segoe UI"/>
      <w:sz w:val="18"/>
      <w:szCs w:val="18"/>
    </w:rPr>
  </w:style>
  <w:style w:type="character" w:styleId="Hyperlink">
    <w:name w:val="Hyperlink"/>
    <w:basedOn w:val="DefaultParagraphFont"/>
    <w:uiPriority w:val="99"/>
    <w:unhideWhenUsed/>
    <w:rsid w:val="00576E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4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ydraulicfracturing.nt.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depws.nt.gov.au/sreb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depws.nt.gov.au" TargetMode="External"/><Relationship Id="rId4" Type="http://schemas.openxmlformats.org/officeDocument/2006/relationships/styles" Target="styles.xml"/><Relationship Id="rId9" Type="http://schemas.openxmlformats.org/officeDocument/2006/relationships/hyperlink" Target="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5ED98A-F34E-4CFA-80B2-AFB6D1F5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6588</Characters>
  <Application>Microsoft Office Word</Application>
  <DocSecurity>0</DocSecurity>
  <Lines>96</Lines>
  <Paragraphs>33</Paragraphs>
  <ScaleCrop>false</ScaleCrop>
  <HeadingPairs>
    <vt:vector size="2" baseType="variant">
      <vt:variant>
        <vt:lpstr>Title</vt:lpstr>
      </vt:variant>
      <vt:variant>
        <vt:i4>1</vt:i4>
      </vt:variant>
    </vt:vector>
  </HeadingPairs>
  <TitlesOfParts>
    <vt:vector size="1" baseType="lpstr">
      <vt:lpstr>Fact Sheet – Risks to Communities Receiving Economic Benefits</vt:lpstr>
    </vt:vector>
  </TitlesOfParts>
  <Company>THE CHIEF MINISTER AND CABINET</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summaries: Ensuring local communities receive economic benefits</dc:title>
  <dc:subject/>
  <dc:creator>Luke Derrick</dc:creator>
  <cp:keywords/>
  <dc:description/>
  <cp:lastModifiedBy>Jordan Elliott</cp:lastModifiedBy>
  <cp:revision>2</cp:revision>
  <cp:lastPrinted>2023-03-23T04:58:00Z</cp:lastPrinted>
  <dcterms:created xsi:type="dcterms:W3CDTF">2023-05-02T23:48:00Z</dcterms:created>
  <dcterms:modified xsi:type="dcterms:W3CDTF">2023-05-02T23:48:00Z</dcterms:modified>
</cp:coreProperties>
</file>