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D7971" w14:textId="6CF3FD52" w:rsidR="003206B8" w:rsidRDefault="00A6140B" w:rsidP="003206B8">
      <w:pPr>
        <w:pStyle w:val="Heading1"/>
        <w:rPr>
          <w:noProof/>
          <w:lang w:eastAsia="en-AU"/>
        </w:rPr>
      </w:pPr>
      <w:r>
        <w:rPr>
          <w:noProof/>
          <w:lang w:eastAsia="en-AU"/>
        </w:rPr>
        <w:t>Inquiry findings</w:t>
      </w:r>
    </w:p>
    <w:p w14:paraId="31E5DAED" w14:textId="5F88BA97" w:rsidR="000B602C" w:rsidRDefault="004117F4" w:rsidP="004117F4">
      <w:r>
        <w:t xml:space="preserve">The </w:t>
      </w:r>
      <w:r w:rsidR="00535800">
        <w:t xml:space="preserve">Inquiry identified the </w:t>
      </w:r>
      <w:r>
        <w:t>onshore</w:t>
      </w:r>
      <w:r w:rsidR="00B2522E">
        <w:t xml:space="preserve"> shale</w:t>
      </w:r>
      <w:r>
        <w:t xml:space="preserve"> gas industry </w:t>
      </w:r>
      <w:r w:rsidR="00535800">
        <w:t xml:space="preserve">has </w:t>
      </w:r>
      <w:r>
        <w:t xml:space="preserve">the potential to damage the health, biodiversity and management of aquatic and terrestrial ecosystems. </w:t>
      </w:r>
      <w:r w:rsidR="000B602C">
        <w:t>Risks to the natural environment include:</w:t>
      </w:r>
      <w:r>
        <w:t xml:space="preserve"> </w:t>
      </w:r>
    </w:p>
    <w:p w14:paraId="578D9B4F" w14:textId="7EE80070" w:rsidR="004117F4" w:rsidRDefault="00390470" w:rsidP="004117F4">
      <w:pPr>
        <w:pStyle w:val="ListParagraph"/>
        <w:numPr>
          <w:ilvl w:val="0"/>
          <w:numId w:val="6"/>
        </w:numPr>
        <w:rPr>
          <w:lang w:eastAsia="en-AU"/>
        </w:rPr>
      </w:pPr>
      <w:r>
        <w:rPr>
          <w:lang w:eastAsia="en-AU"/>
        </w:rPr>
        <w:t>d</w:t>
      </w:r>
      <w:r w:rsidR="004117F4">
        <w:rPr>
          <w:lang w:eastAsia="en-AU"/>
        </w:rPr>
        <w:t>amage to ecosystems and biodiversity caused by excessive extraction and contamination of surface and groundwater</w:t>
      </w:r>
    </w:p>
    <w:p w14:paraId="6E8C0E5F" w14:textId="22D77C2C" w:rsidR="004117F4" w:rsidRDefault="00390470" w:rsidP="004117F4">
      <w:pPr>
        <w:pStyle w:val="ListParagraph"/>
        <w:numPr>
          <w:ilvl w:val="0"/>
          <w:numId w:val="6"/>
        </w:numPr>
        <w:rPr>
          <w:lang w:eastAsia="en-AU"/>
        </w:rPr>
      </w:pPr>
      <w:r>
        <w:rPr>
          <w:lang w:eastAsia="en-AU"/>
        </w:rPr>
        <w:t>t</w:t>
      </w:r>
      <w:r w:rsidR="004117F4">
        <w:rPr>
          <w:lang w:eastAsia="en-AU"/>
        </w:rPr>
        <w:t>he increased spread of invasive species, the loss of native vegetation, and changes to fire regimes</w:t>
      </w:r>
    </w:p>
    <w:p w14:paraId="7578656B" w14:textId="49B427C6" w:rsidR="00A6140B" w:rsidRDefault="00390470" w:rsidP="00A6140B">
      <w:pPr>
        <w:pStyle w:val="ListParagraph"/>
        <w:numPr>
          <w:ilvl w:val="0"/>
          <w:numId w:val="6"/>
        </w:numPr>
        <w:rPr>
          <w:lang w:eastAsia="en-AU"/>
        </w:rPr>
      </w:pPr>
      <w:proofErr w:type="gramStart"/>
      <w:r>
        <w:rPr>
          <w:lang w:eastAsia="en-AU"/>
        </w:rPr>
        <w:t>t</w:t>
      </w:r>
      <w:r w:rsidR="004117F4">
        <w:rPr>
          <w:lang w:eastAsia="en-AU"/>
        </w:rPr>
        <w:t>he</w:t>
      </w:r>
      <w:proofErr w:type="gramEnd"/>
      <w:r w:rsidR="004117F4">
        <w:rPr>
          <w:lang w:eastAsia="en-AU"/>
        </w:rPr>
        <w:t xml:space="preserve"> potential for onshore </w:t>
      </w:r>
      <w:r w:rsidR="00B2522E">
        <w:rPr>
          <w:lang w:eastAsia="en-AU"/>
        </w:rPr>
        <w:t xml:space="preserve">shale </w:t>
      </w:r>
      <w:r w:rsidR="004117F4">
        <w:rPr>
          <w:lang w:eastAsia="en-AU"/>
        </w:rPr>
        <w:t>gas infrastructure to damage ecosystems</w:t>
      </w:r>
      <w:r w:rsidR="00535800">
        <w:rPr>
          <w:lang w:eastAsia="en-AU"/>
        </w:rPr>
        <w:t>.</w:t>
      </w:r>
    </w:p>
    <w:p w14:paraId="1F66A59B" w14:textId="3A22DA81" w:rsidR="00A6140B" w:rsidRDefault="00A6140B" w:rsidP="00A6140B">
      <w:pPr>
        <w:rPr>
          <w:lang w:eastAsia="en-AU"/>
        </w:rPr>
      </w:pPr>
      <w:r>
        <w:rPr>
          <w:lang w:eastAsia="en-AU"/>
        </w:rPr>
        <w:t xml:space="preserve">The Inquiry found there were no strong water monitoring requirements to provide an early warning system and reduce the risks to water resources from onshore shale gas activities, including risks to water quality and quantity. </w:t>
      </w:r>
    </w:p>
    <w:p w14:paraId="2B751C47" w14:textId="2606DED3" w:rsidR="003206B8" w:rsidRDefault="00A6140B" w:rsidP="003206B8">
      <w:pPr>
        <w:pStyle w:val="Heading1"/>
        <w:rPr>
          <w:lang w:eastAsia="en-AU"/>
        </w:rPr>
      </w:pPr>
      <w:r>
        <w:rPr>
          <w:lang w:eastAsia="en-AU"/>
        </w:rPr>
        <w:t>NT Government mitigations</w:t>
      </w:r>
    </w:p>
    <w:p w14:paraId="595E31F3" w14:textId="0FACD827" w:rsidR="007F58A8" w:rsidRDefault="007F58A8" w:rsidP="007F58A8">
      <w:pPr>
        <w:rPr>
          <w:lang w:eastAsia="en-AU"/>
        </w:rPr>
      </w:pPr>
      <w:r w:rsidRPr="00C077A9">
        <w:rPr>
          <w:lang w:eastAsia="en-AU"/>
        </w:rPr>
        <w:t xml:space="preserve">The NT Government </w:t>
      </w:r>
      <w:r>
        <w:rPr>
          <w:lang w:eastAsia="en-AU"/>
        </w:rPr>
        <w:t>accepted all</w:t>
      </w:r>
      <w:r w:rsidR="00993AA3">
        <w:rPr>
          <w:lang w:eastAsia="en-AU"/>
        </w:rPr>
        <w:t xml:space="preserve"> the </w:t>
      </w:r>
      <w:r w:rsidR="00535800">
        <w:rPr>
          <w:lang w:eastAsia="en-AU"/>
        </w:rPr>
        <w:t xml:space="preserve">Inquiry </w:t>
      </w:r>
      <w:r>
        <w:rPr>
          <w:lang w:eastAsia="en-AU"/>
        </w:rPr>
        <w:t>recommendations</w:t>
      </w:r>
      <w:r w:rsidR="00390470">
        <w:rPr>
          <w:lang w:eastAsia="en-AU"/>
        </w:rPr>
        <w:t xml:space="preserve"> </w:t>
      </w:r>
      <w:r>
        <w:rPr>
          <w:lang w:eastAsia="en-AU"/>
        </w:rPr>
        <w:t xml:space="preserve">to mitigate the risks </w:t>
      </w:r>
      <w:r w:rsidR="00993AA3">
        <w:rPr>
          <w:lang w:eastAsia="en-AU"/>
        </w:rPr>
        <w:t xml:space="preserve">identified by the Inquiry </w:t>
      </w:r>
      <w:r>
        <w:rPr>
          <w:lang w:eastAsia="en-AU"/>
        </w:rPr>
        <w:t>and protect the natural environment.</w:t>
      </w:r>
    </w:p>
    <w:p w14:paraId="15C8FC3E" w14:textId="59A00E08" w:rsidR="00203368" w:rsidRPr="000B1A72" w:rsidRDefault="00916AD6" w:rsidP="00916AD6">
      <w:pPr>
        <w:pStyle w:val="ListParagraph"/>
        <w:numPr>
          <w:ilvl w:val="0"/>
          <w:numId w:val="12"/>
        </w:numPr>
        <w:rPr>
          <w:i/>
          <w:lang w:eastAsia="en-AU"/>
        </w:rPr>
      </w:pPr>
      <w:r>
        <w:rPr>
          <w:lang w:eastAsia="en-AU"/>
        </w:rPr>
        <w:t xml:space="preserve">The NT Government transferred the </w:t>
      </w:r>
      <w:r w:rsidR="00993AA3">
        <w:rPr>
          <w:lang w:eastAsia="en-AU"/>
        </w:rPr>
        <w:t xml:space="preserve">responsibility for </w:t>
      </w:r>
      <w:r>
        <w:rPr>
          <w:lang w:eastAsia="en-AU"/>
        </w:rPr>
        <w:t>environmental regulations for the onshore gas industry from the Minister for Mining and Industry to the Minister for Environment, Climate Change, and Water Security.</w:t>
      </w:r>
      <w:r w:rsidR="000B1A72">
        <w:rPr>
          <w:lang w:eastAsia="en-AU"/>
        </w:rPr>
        <w:t xml:space="preserve"> </w:t>
      </w:r>
      <w:r w:rsidR="000B1A72" w:rsidRPr="00993AA3">
        <w:rPr>
          <w:lang w:eastAsia="en-AU"/>
        </w:rPr>
        <w:t xml:space="preserve">This removes the potential for </w:t>
      </w:r>
      <w:r w:rsidR="00993AA3" w:rsidRPr="00993AA3">
        <w:rPr>
          <w:lang w:eastAsia="en-AU"/>
        </w:rPr>
        <w:t xml:space="preserve">environmental regulation to be influenced or conflicted by industry development, which </w:t>
      </w:r>
      <w:r w:rsidR="000B1A72" w:rsidRPr="00993AA3">
        <w:rPr>
          <w:lang w:eastAsia="en-AU"/>
        </w:rPr>
        <w:t>could arise if the same decision-maker is responsible for both environmental protection and industry development.</w:t>
      </w:r>
    </w:p>
    <w:p w14:paraId="0E58E58D" w14:textId="120C98FA" w:rsidR="000B1A72" w:rsidRDefault="000B1A72" w:rsidP="00916AD6">
      <w:pPr>
        <w:pStyle w:val="ListParagraph"/>
        <w:numPr>
          <w:ilvl w:val="0"/>
          <w:numId w:val="12"/>
        </w:numPr>
        <w:rPr>
          <w:lang w:eastAsia="en-AU"/>
        </w:rPr>
      </w:pPr>
      <w:r>
        <w:rPr>
          <w:lang w:eastAsia="en-AU"/>
        </w:rPr>
        <w:t xml:space="preserve">The NT Government requires </w:t>
      </w:r>
      <w:r w:rsidR="00993AA3">
        <w:rPr>
          <w:lang w:eastAsia="en-AU"/>
        </w:rPr>
        <w:t xml:space="preserve">all onshore gas proponents to submit an </w:t>
      </w:r>
      <w:r>
        <w:rPr>
          <w:lang w:eastAsia="en-AU"/>
        </w:rPr>
        <w:t>Environment Management Plan (EMP)</w:t>
      </w:r>
      <w:r w:rsidR="00993AA3">
        <w:rPr>
          <w:lang w:eastAsia="en-AU"/>
        </w:rPr>
        <w:t xml:space="preserve"> which</w:t>
      </w:r>
      <w:r>
        <w:rPr>
          <w:lang w:eastAsia="en-AU"/>
        </w:rPr>
        <w:t xml:space="preserve"> identif</w:t>
      </w:r>
      <w:r w:rsidR="00993AA3">
        <w:rPr>
          <w:lang w:eastAsia="en-AU"/>
        </w:rPr>
        <w:t>ies</w:t>
      </w:r>
      <w:r>
        <w:rPr>
          <w:lang w:eastAsia="en-AU"/>
        </w:rPr>
        <w:t xml:space="preserve"> and assess</w:t>
      </w:r>
      <w:r w:rsidR="00993AA3">
        <w:rPr>
          <w:lang w:eastAsia="en-AU"/>
        </w:rPr>
        <w:t>es</w:t>
      </w:r>
      <w:r>
        <w:rPr>
          <w:lang w:eastAsia="en-AU"/>
        </w:rPr>
        <w:t xml:space="preserve"> all environmental impacts and risks</w:t>
      </w:r>
      <w:r w:rsidR="00993AA3">
        <w:rPr>
          <w:lang w:eastAsia="en-AU"/>
        </w:rPr>
        <w:t xml:space="preserve"> from onshore gas activities,</w:t>
      </w:r>
      <w:r>
        <w:rPr>
          <w:lang w:eastAsia="en-AU"/>
        </w:rPr>
        <w:t xml:space="preserve"> and demonstrate</w:t>
      </w:r>
      <w:r w:rsidR="00993AA3">
        <w:rPr>
          <w:lang w:eastAsia="en-AU"/>
        </w:rPr>
        <w:t>s</w:t>
      </w:r>
      <w:r>
        <w:rPr>
          <w:lang w:eastAsia="en-AU"/>
        </w:rPr>
        <w:t xml:space="preserve"> how they will be managed to acceptable standards.</w:t>
      </w:r>
    </w:p>
    <w:p w14:paraId="677786F6" w14:textId="56F67156" w:rsidR="00993AA3" w:rsidRDefault="00993AA3" w:rsidP="00993AA3">
      <w:pPr>
        <w:pStyle w:val="ListParagraph"/>
        <w:numPr>
          <w:ilvl w:val="0"/>
          <w:numId w:val="12"/>
        </w:numPr>
        <w:rPr>
          <w:lang w:eastAsia="en-AU"/>
        </w:rPr>
      </w:pPr>
      <w:r>
        <w:rPr>
          <w:lang w:eastAsia="en-AU"/>
        </w:rPr>
        <w:t xml:space="preserve">The NT Government introduced </w:t>
      </w:r>
      <w:r w:rsidR="00C041FB">
        <w:rPr>
          <w:lang w:eastAsia="en-AU"/>
        </w:rPr>
        <w:t xml:space="preserve">the </w:t>
      </w:r>
      <w:r w:rsidR="00C041FB">
        <w:rPr>
          <w:i/>
          <w:lang w:eastAsia="en-AU"/>
        </w:rPr>
        <w:t xml:space="preserve">Environment Protection Act 2019 </w:t>
      </w:r>
      <w:r w:rsidR="00C041FB">
        <w:rPr>
          <w:lang w:eastAsia="en-AU"/>
        </w:rPr>
        <w:t xml:space="preserve">to </w:t>
      </w:r>
      <w:r>
        <w:rPr>
          <w:lang w:eastAsia="en-AU"/>
        </w:rPr>
        <w:t>improve</w:t>
      </w:r>
      <w:r w:rsidR="00C041FB">
        <w:rPr>
          <w:lang w:eastAsia="en-AU"/>
        </w:rPr>
        <w:t xml:space="preserve"> </w:t>
      </w:r>
      <w:r>
        <w:rPr>
          <w:lang w:eastAsia="en-AU"/>
        </w:rPr>
        <w:t xml:space="preserve">the </w:t>
      </w:r>
      <w:r w:rsidR="00C041FB">
        <w:rPr>
          <w:lang w:eastAsia="en-AU"/>
        </w:rPr>
        <w:t xml:space="preserve">Territory’s environmental protection </w:t>
      </w:r>
      <w:r>
        <w:rPr>
          <w:lang w:eastAsia="en-AU"/>
        </w:rPr>
        <w:t>regulat</w:t>
      </w:r>
      <w:r w:rsidR="00C041FB">
        <w:rPr>
          <w:lang w:eastAsia="en-AU"/>
        </w:rPr>
        <w:t>ions</w:t>
      </w:r>
      <w:r>
        <w:rPr>
          <w:lang w:eastAsia="en-AU"/>
        </w:rPr>
        <w:t xml:space="preserve">. </w:t>
      </w:r>
      <w:r w:rsidR="00C45BE4">
        <w:rPr>
          <w:lang w:eastAsia="en-AU"/>
        </w:rPr>
        <w:t>There is now a process for t</w:t>
      </w:r>
      <w:r w:rsidR="00C041FB">
        <w:rPr>
          <w:lang w:eastAsia="en-AU"/>
        </w:rPr>
        <w:t xml:space="preserve">he Minister for Environment, Climate Change and Water Security </w:t>
      </w:r>
      <w:r w:rsidR="00157A29">
        <w:rPr>
          <w:lang w:eastAsia="en-AU"/>
        </w:rPr>
        <w:t xml:space="preserve">to </w:t>
      </w:r>
      <w:r w:rsidR="00C041FB">
        <w:rPr>
          <w:lang w:eastAsia="en-AU"/>
        </w:rPr>
        <w:t xml:space="preserve">issue approvals for activities regulated under the Act and impose specific conditions which </w:t>
      </w:r>
      <w:r>
        <w:rPr>
          <w:lang w:eastAsia="en-AU"/>
        </w:rPr>
        <w:t>reduce the risk of environmental harm.</w:t>
      </w:r>
    </w:p>
    <w:p w14:paraId="501C10AF" w14:textId="5093B492" w:rsidR="002E1B77" w:rsidRDefault="00916AD6" w:rsidP="002E1B77">
      <w:pPr>
        <w:pStyle w:val="ListParagraph"/>
        <w:numPr>
          <w:ilvl w:val="0"/>
          <w:numId w:val="12"/>
        </w:numPr>
        <w:rPr>
          <w:lang w:eastAsia="en-AU"/>
        </w:rPr>
      </w:pPr>
      <w:r>
        <w:rPr>
          <w:lang w:eastAsia="en-AU"/>
        </w:rPr>
        <w:t>The NT Government established a legally enforceable Code of Pra</w:t>
      </w:r>
      <w:r w:rsidR="00EF4847">
        <w:rPr>
          <w:lang w:eastAsia="en-AU"/>
        </w:rPr>
        <w:t>ctic</w:t>
      </w:r>
      <w:r w:rsidR="00CF72E2">
        <w:rPr>
          <w:lang w:eastAsia="en-AU"/>
        </w:rPr>
        <w:t xml:space="preserve">e for onshore gas activity, which all </w:t>
      </w:r>
      <w:r w:rsidR="00B333BE">
        <w:rPr>
          <w:lang w:eastAsia="en-AU"/>
        </w:rPr>
        <w:t>EMPs</w:t>
      </w:r>
      <w:r>
        <w:rPr>
          <w:lang w:eastAsia="en-AU"/>
        </w:rPr>
        <w:t xml:space="preserve"> must c</w:t>
      </w:r>
      <w:r w:rsidR="00CF72E2">
        <w:rPr>
          <w:lang w:eastAsia="en-AU"/>
        </w:rPr>
        <w:t xml:space="preserve">omply with. </w:t>
      </w:r>
      <w:r w:rsidR="002E1B77">
        <w:rPr>
          <w:lang w:eastAsia="en-AU"/>
        </w:rPr>
        <w:t>To protect the natural</w:t>
      </w:r>
      <w:r w:rsidR="00EF4847">
        <w:rPr>
          <w:lang w:eastAsia="en-AU"/>
        </w:rPr>
        <w:t xml:space="preserve"> environment the Code of Practic</w:t>
      </w:r>
      <w:r w:rsidR="002E1B77">
        <w:rPr>
          <w:lang w:eastAsia="en-AU"/>
        </w:rPr>
        <w:t>e requires the following</w:t>
      </w:r>
      <w:r w:rsidR="00CF72E2">
        <w:rPr>
          <w:lang w:eastAsia="en-AU"/>
        </w:rPr>
        <w:t>:</w:t>
      </w:r>
    </w:p>
    <w:tbl>
      <w:tblPr>
        <w:tblStyle w:val="TableGrid"/>
        <w:tblW w:w="0" w:type="auto"/>
        <w:tblInd w:w="785" w:type="dxa"/>
        <w:tblLook w:val="04A0" w:firstRow="1" w:lastRow="0" w:firstColumn="1" w:lastColumn="0" w:noHBand="0" w:noVBand="1"/>
      </w:tblPr>
      <w:tblGrid>
        <w:gridCol w:w="4769"/>
        <w:gridCol w:w="4754"/>
      </w:tblGrid>
      <w:tr w:rsidR="00CF72E2" w14:paraId="2215CE3B" w14:textId="77777777" w:rsidTr="00777307">
        <w:tc>
          <w:tcPr>
            <w:tcW w:w="4769" w:type="dxa"/>
            <w:tcBorders>
              <w:top w:val="nil"/>
              <w:left w:val="nil"/>
              <w:bottom w:val="nil"/>
              <w:right w:val="nil"/>
            </w:tcBorders>
            <w:shd w:val="clear" w:color="auto" w:fill="auto"/>
          </w:tcPr>
          <w:p w14:paraId="5C55D5B2" w14:textId="5DFB4A93" w:rsidR="00CF72E2" w:rsidRPr="002E493A" w:rsidRDefault="00993AA3" w:rsidP="00CF72E2">
            <w:pPr>
              <w:pStyle w:val="ListParagraph"/>
              <w:numPr>
                <w:ilvl w:val="0"/>
                <w:numId w:val="9"/>
              </w:numPr>
              <w:rPr>
                <w:rFonts w:cstheme="minorHAnsi"/>
                <w:i/>
              </w:rPr>
            </w:pPr>
            <w:r>
              <w:rPr>
                <w:rFonts w:cstheme="minorHAnsi"/>
              </w:rPr>
              <w:t>p</w:t>
            </w:r>
            <w:r w:rsidR="0069078F">
              <w:rPr>
                <w:rFonts w:cstheme="minorHAnsi"/>
              </w:rPr>
              <w:t>roject s</w:t>
            </w:r>
            <w:r w:rsidR="00CF72E2">
              <w:rPr>
                <w:rFonts w:cstheme="minorHAnsi"/>
              </w:rPr>
              <w:t>pecific weed management plans</w:t>
            </w:r>
          </w:p>
        </w:tc>
        <w:tc>
          <w:tcPr>
            <w:tcW w:w="4754" w:type="dxa"/>
            <w:tcBorders>
              <w:top w:val="nil"/>
              <w:left w:val="nil"/>
              <w:bottom w:val="nil"/>
              <w:right w:val="nil"/>
            </w:tcBorders>
            <w:shd w:val="clear" w:color="auto" w:fill="auto"/>
          </w:tcPr>
          <w:p w14:paraId="63F3FBF5" w14:textId="3548651C" w:rsidR="00CF72E2" w:rsidRDefault="00993AA3" w:rsidP="00CF72E2">
            <w:pPr>
              <w:pStyle w:val="ListParagraph"/>
              <w:numPr>
                <w:ilvl w:val="0"/>
                <w:numId w:val="9"/>
              </w:numPr>
              <w:rPr>
                <w:rFonts w:cstheme="minorHAnsi"/>
                <w:i/>
              </w:rPr>
            </w:pPr>
            <w:r>
              <w:rPr>
                <w:rFonts w:cstheme="minorHAnsi"/>
              </w:rPr>
              <w:t>the d</w:t>
            </w:r>
            <w:r w:rsidR="00CF72E2">
              <w:rPr>
                <w:rFonts w:cstheme="minorHAnsi"/>
              </w:rPr>
              <w:t>evelopment and implementation of site specific fire management plans</w:t>
            </w:r>
          </w:p>
        </w:tc>
      </w:tr>
      <w:tr w:rsidR="00CF72E2" w14:paraId="36BEE1C0" w14:textId="77777777" w:rsidTr="00777307">
        <w:tc>
          <w:tcPr>
            <w:tcW w:w="4769" w:type="dxa"/>
            <w:tcBorders>
              <w:top w:val="nil"/>
              <w:left w:val="nil"/>
              <w:bottom w:val="nil"/>
              <w:right w:val="nil"/>
            </w:tcBorders>
            <w:shd w:val="clear" w:color="auto" w:fill="auto"/>
          </w:tcPr>
          <w:p w14:paraId="44828A10" w14:textId="2B03F8B0" w:rsidR="00CF72E2" w:rsidRPr="0069078F" w:rsidRDefault="00390470" w:rsidP="00CF72E2">
            <w:pPr>
              <w:pStyle w:val="ListParagraph"/>
              <w:numPr>
                <w:ilvl w:val="0"/>
                <w:numId w:val="9"/>
              </w:numPr>
              <w:rPr>
                <w:rFonts w:cstheme="minorHAnsi"/>
                <w:i/>
              </w:rPr>
            </w:pPr>
            <w:r>
              <w:rPr>
                <w:rFonts w:cstheme="minorHAnsi"/>
              </w:rPr>
              <w:t>a</w:t>
            </w:r>
            <w:r w:rsidR="00993AA3">
              <w:rPr>
                <w:rFonts w:cstheme="minorHAnsi"/>
              </w:rPr>
              <w:t xml:space="preserve"> r</w:t>
            </w:r>
            <w:r w:rsidR="00CF72E2">
              <w:rPr>
                <w:rFonts w:cstheme="minorHAnsi"/>
              </w:rPr>
              <w:t>ange of requirements designed to address water resource contamination and extraction</w:t>
            </w:r>
          </w:p>
          <w:p w14:paraId="39957A50" w14:textId="58949E93" w:rsidR="00256705" w:rsidRPr="00256705" w:rsidRDefault="00993AA3" w:rsidP="00256705">
            <w:pPr>
              <w:pStyle w:val="ListParagraph"/>
              <w:numPr>
                <w:ilvl w:val="0"/>
                <w:numId w:val="9"/>
              </w:numPr>
              <w:rPr>
                <w:rFonts w:cstheme="minorHAnsi"/>
                <w:i/>
              </w:rPr>
            </w:pPr>
            <w:r>
              <w:rPr>
                <w:rFonts w:cstheme="minorHAnsi"/>
              </w:rPr>
              <w:t>w</w:t>
            </w:r>
            <w:r w:rsidR="0069078F">
              <w:rPr>
                <w:rFonts w:cstheme="minorHAnsi"/>
              </w:rPr>
              <w:t>astewater management plans and s</w:t>
            </w:r>
            <w:r w:rsidR="000C2083">
              <w:rPr>
                <w:rFonts w:cstheme="minorHAnsi"/>
              </w:rPr>
              <w:t>pill management plans</w:t>
            </w:r>
          </w:p>
        </w:tc>
        <w:tc>
          <w:tcPr>
            <w:tcW w:w="4754" w:type="dxa"/>
            <w:tcBorders>
              <w:top w:val="nil"/>
              <w:left w:val="nil"/>
              <w:bottom w:val="nil"/>
              <w:right w:val="nil"/>
            </w:tcBorders>
            <w:shd w:val="clear" w:color="auto" w:fill="auto"/>
          </w:tcPr>
          <w:p w14:paraId="05ABB1FC" w14:textId="3E97C181" w:rsidR="00CF72E2" w:rsidRPr="0069078F" w:rsidRDefault="00993AA3" w:rsidP="00CF72E2">
            <w:pPr>
              <w:pStyle w:val="ListParagraph"/>
              <w:numPr>
                <w:ilvl w:val="0"/>
                <w:numId w:val="9"/>
              </w:numPr>
              <w:rPr>
                <w:rFonts w:cstheme="minorHAnsi"/>
                <w:i/>
              </w:rPr>
            </w:pPr>
            <w:r>
              <w:rPr>
                <w:rFonts w:cstheme="minorHAnsi"/>
              </w:rPr>
              <w:t>a</w:t>
            </w:r>
            <w:r w:rsidR="00CF72E2">
              <w:rPr>
                <w:rFonts w:cstheme="minorHAnsi"/>
              </w:rPr>
              <w:t xml:space="preserve"> rehabilitation plan, prior to the release of environmental securities</w:t>
            </w:r>
          </w:p>
          <w:p w14:paraId="3682107A" w14:textId="07133507" w:rsidR="0069078F" w:rsidRDefault="0069078F" w:rsidP="00CF72E2">
            <w:pPr>
              <w:pStyle w:val="ListParagraph"/>
              <w:numPr>
                <w:ilvl w:val="0"/>
                <w:numId w:val="9"/>
              </w:numPr>
              <w:rPr>
                <w:rFonts w:cstheme="minorHAnsi"/>
                <w:i/>
              </w:rPr>
            </w:pPr>
            <w:r>
              <w:rPr>
                <w:rFonts w:cstheme="minorHAnsi"/>
              </w:rPr>
              <w:t>specific wastewater storage and well site protection requirements</w:t>
            </w:r>
          </w:p>
        </w:tc>
      </w:tr>
    </w:tbl>
    <w:p w14:paraId="53C3ADAB" w14:textId="5B23F2C5" w:rsidR="00256705" w:rsidRDefault="00256705" w:rsidP="00020946">
      <w:pPr>
        <w:pStyle w:val="ListParagraph"/>
        <w:numPr>
          <w:ilvl w:val="0"/>
          <w:numId w:val="14"/>
        </w:numPr>
        <w:rPr>
          <w:lang w:eastAsia="en-AU"/>
        </w:rPr>
      </w:pPr>
      <w:r>
        <w:rPr>
          <w:lang w:eastAsia="en-AU"/>
        </w:rPr>
        <w:lastRenderedPageBreak/>
        <w:t>The NT Government introduced the Petroleum Reserved Block Policy, which sets out the areas where onshore gas activities may be prohibited, including areas of high conservation value. As of November 2022, 20.76% of the Territory’s landmass has been reserved from onshore gas activities.</w:t>
      </w:r>
    </w:p>
    <w:p w14:paraId="34616E27" w14:textId="7F615340" w:rsidR="00575E73" w:rsidRDefault="00575E73" w:rsidP="00020946">
      <w:pPr>
        <w:pStyle w:val="ListParagraph"/>
        <w:numPr>
          <w:ilvl w:val="0"/>
          <w:numId w:val="14"/>
        </w:numPr>
        <w:rPr>
          <w:lang w:eastAsia="en-AU"/>
        </w:rPr>
      </w:pPr>
      <w:r>
        <w:t xml:space="preserve">The NT Government has made sure </w:t>
      </w:r>
      <w:r w:rsidR="000B602C">
        <w:t xml:space="preserve">that </w:t>
      </w:r>
      <w:r>
        <w:t>water usage by th</w:t>
      </w:r>
      <w:r w:rsidR="000B602C">
        <w:t>e onshore gas industry is licens</w:t>
      </w:r>
      <w:r>
        <w:t>ed and assessed against water protection and allocation policies by</w:t>
      </w:r>
      <w:r>
        <w:rPr>
          <w:lang w:eastAsia="en-AU"/>
        </w:rPr>
        <w:t xml:space="preserve"> removing onshore </w:t>
      </w:r>
      <w:r w:rsidR="00993AA3">
        <w:rPr>
          <w:lang w:eastAsia="en-AU"/>
        </w:rPr>
        <w:t xml:space="preserve">gas </w:t>
      </w:r>
      <w:r>
        <w:rPr>
          <w:lang w:eastAsia="en-AU"/>
        </w:rPr>
        <w:t xml:space="preserve">industry exemptions from water licensing requirements. Licences are published online for transparency. </w:t>
      </w:r>
    </w:p>
    <w:p w14:paraId="6543CD7A" w14:textId="44368C15" w:rsidR="00AE4966" w:rsidRDefault="00AE4966" w:rsidP="00AE4966">
      <w:pPr>
        <w:pStyle w:val="ListParagraph"/>
        <w:numPr>
          <w:ilvl w:val="0"/>
          <w:numId w:val="13"/>
        </w:numPr>
        <w:rPr>
          <w:lang w:eastAsia="en-AU"/>
        </w:rPr>
      </w:pPr>
      <w:r>
        <w:rPr>
          <w:lang w:eastAsia="en-AU"/>
        </w:rPr>
        <w:t xml:space="preserve">The NT Government declared the Daly Roper </w:t>
      </w:r>
      <w:proofErr w:type="spellStart"/>
      <w:r>
        <w:rPr>
          <w:lang w:eastAsia="en-AU"/>
        </w:rPr>
        <w:t>Beetaloo</w:t>
      </w:r>
      <w:proofErr w:type="spellEnd"/>
      <w:r>
        <w:rPr>
          <w:lang w:eastAsia="en-AU"/>
        </w:rPr>
        <w:t xml:space="preserve"> Water Control District to improve management of the water resources in this region. Declaring the water control district enables the development of Water Allocation Plans whic</w:t>
      </w:r>
      <w:bookmarkStart w:id="0" w:name="_GoBack"/>
      <w:bookmarkEnd w:id="0"/>
      <w:r>
        <w:rPr>
          <w:lang w:eastAsia="en-AU"/>
        </w:rPr>
        <w:t xml:space="preserve">h apply tailored </w:t>
      </w:r>
      <w:r w:rsidR="000B602C">
        <w:rPr>
          <w:lang w:eastAsia="en-AU"/>
        </w:rPr>
        <w:t>allocation rules to water licenc</w:t>
      </w:r>
      <w:r>
        <w:rPr>
          <w:lang w:eastAsia="en-AU"/>
        </w:rPr>
        <w:t xml:space="preserve">e decisions in regions where there is competition for water, protecting water dependent ecosystems. </w:t>
      </w:r>
      <w:r w:rsidR="004F4E6C" w:rsidRPr="004F4E6C">
        <w:rPr>
          <w:lang w:eastAsia="en-AU"/>
        </w:rPr>
        <w:t>The Water Allocation Plan for the Georgina-</w:t>
      </w:r>
      <w:proofErr w:type="spellStart"/>
      <w:r w:rsidR="004F4E6C" w:rsidRPr="004F4E6C">
        <w:rPr>
          <w:lang w:eastAsia="en-AU"/>
        </w:rPr>
        <w:t>Wiso</w:t>
      </w:r>
      <w:proofErr w:type="spellEnd"/>
      <w:r w:rsidR="004F4E6C" w:rsidRPr="004F4E6C">
        <w:rPr>
          <w:lang w:eastAsia="en-AU"/>
        </w:rPr>
        <w:t xml:space="preserve"> Basin has closed from consultation and will commence </w:t>
      </w:r>
      <w:r w:rsidR="004F4E6C">
        <w:rPr>
          <w:lang w:eastAsia="en-AU"/>
        </w:rPr>
        <w:t xml:space="preserve">from the date of its Gazettal by the Minister for Environment, Climate Change and Water Security. </w:t>
      </w:r>
    </w:p>
    <w:p w14:paraId="0BE5C36A" w14:textId="16136807" w:rsidR="002E1B77" w:rsidRDefault="004F4E6C" w:rsidP="002E1B77">
      <w:pPr>
        <w:pStyle w:val="ListParagraph"/>
        <w:numPr>
          <w:ilvl w:val="0"/>
          <w:numId w:val="12"/>
        </w:numPr>
        <w:rPr>
          <w:lang w:eastAsia="en-AU"/>
        </w:rPr>
      </w:pPr>
      <w:r>
        <w:rPr>
          <w:lang w:eastAsia="en-AU"/>
        </w:rPr>
        <w:t xml:space="preserve">The </w:t>
      </w:r>
      <w:r w:rsidR="007D1CDC">
        <w:rPr>
          <w:lang w:eastAsia="en-AU"/>
        </w:rPr>
        <w:t xml:space="preserve">Strategic Regional </w:t>
      </w:r>
      <w:r w:rsidR="000B602C">
        <w:rPr>
          <w:lang w:eastAsia="en-AU"/>
        </w:rPr>
        <w:t xml:space="preserve">Environmental </w:t>
      </w:r>
      <w:r w:rsidR="00D71096">
        <w:rPr>
          <w:lang w:eastAsia="en-AU"/>
        </w:rPr>
        <w:t>Baseline Assessment</w:t>
      </w:r>
      <w:r w:rsidR="007D1CDC">
        <w:rPr>
          <w:lang w:eastAsia="en-AU"/>
        </w:rPr>
        <w:t xml:space="preserve"> (SREBA) address</w:t>
      </w:r>
      <w:r>
        <w:rPr>
          <w:lang w:eastAsia="en-AU"/>
        </w:rPr>
        <w:t>ed</w:t>
      </w:r>
      <w:r w:rsidR="007D1CDC">
        <w:rPr>
          <w:lang w:eastAsia="en-AU"/>
        </w:rPr>
        <w:t xml:space="preserve"> the lack of information needed to manage risks to the natural environment and water resources. </w:t>
      </w:r>
      <w:r>
        <w:rPr>
          <w:lang w:eastAsia="en-AU"/>
        </w:rPr>
        <w:t>S</w:t>
      </w:r>
      <w:r w:rsidR="007D1CDC">
        <w:rPr>
          <w:lang w:eastAsia="en-AU"/>
        </w:rPr>
        <w:t xml:space="preserve">tudies on water quality and quantity, aquatic ecosystems, and terrestrial ecosystems </w:t>
      </w:r>
      <w:r>
        <w:rPr>
          <w:lang w:eastAsia="en-AU"/>
        </w:rPr>
        <w:t xml:space="preserve">produced baseline information which has improved understanding about the natural environment in the </w:t>
      </w:r>
      <w:proofErr w:type="spellStart"/>
      <w:r>
        <w:rPr>
          <w:lang w:eastAsia="en-AU"/>
        </w:rPr>
        <w:t>Beetaloo</w:t>
      </w:r>
      <w:proofErr w:type="spellEnd"/>
      <w:r>
        <w:rPr>
          <w:lang w:eastAsia="en-AU"/>
        </w:rPr>
        <w:t xml:space="preserve"> region, which will inform </w:t>
      </w:r>
      <w:r w:rsidR="00C041FB">
        <w:rPr>
          <w:lang w:eastAsia="en-AU"/>
        </w:rPr>
        <w:t>future assessment of environmental impacts, including cumulative impacts from multiple projects</w:t>
      </w:r>
      <w:r w:rsidR="007D1CDC">
        <w:rPr>
          <w:lang w:eastAsia="en-AU"/>
        </w:rPr>
        <w:t>.</w:t>
      </w:r>
    </w:p>
    <w:p w14:paraId="5A81A054" w14:textId="08B1C67D" w:rsidR="003206B8" w:rsidRDefault="00A6140B" w:rsidP="003206B8">
      <w:pPr>
        <w:pStyle w:val="Heading1"/>
        <w:rPr>
          <w:lang w:eastAsia="en-AU"/>
        </w:rPr>
      </w:pPr>
      <w:r>
        <w:rPr>
          <w:lang w:eastAsia="en-AU"/>
        </w:rPr>
        <w:t>Ongoing monitoring into the future</w:t>
      </w:r>
    </w:p>
    <w:p w14:paraId="19D6ACA9" w14:textId="351299B5" w:rsidR="001040BE" w:rsidRDefault="007D1CDC" w:rsidP="00737553">
      <w:pPr>
        <w:rPr>
          <w:lang w:eastAsia="en-AU"/>
        </w:rPr>
      </w:pPr>
      <w:r>
        <w:rPr>
          <w:lang w:eastAsia="en-AU"/>
        </w:rPr>
        <w:t xml:space="preserve">The Department of Environment, Parks, and Water Security </w:t>
      </w:r>
      <w:r w:rsidR="006E5765">
        <w:rPr>
          <w:lang w:eastAsia="en-AU"/>
        </w:rPr>
        <w:t xml:space="preserve">(DEPWS) </w:t>
      </w:r>
      <w:r>
        <w:rPr>
          <w:lang w:eastAsia="en-AU"/>
        </w:rPr>
        <w:t>and the Department of Industry, Tourism, and Trade</w:t>
      </w:r>
      <w:r w:rsidR="006E5765">
        <w:rPr>
          <w:lang w:eastAsia="en-AU"/>
        </w:rPr>
        <w:t xml:space="preserve"> (DITT)</w:t>
      </w:r>
      <w:r>
        <w:rPr>
          <w:lang w:eastAsia="en-AU"/>
        </w:rPr>
        <w:t xml:space="preserve"> </w:t>
      </w:r>
      <w:r w:rsidR="00EF4847">
        <w:rPr>
          <w:lang w:eastAsia="en-AU"/>
        </w:rPr>
        <w:t>will review the Code of Practic</w:t>
      </w:r>
      <w:r w:rsidR="006E5765">
        <w:rPr>
          <w:lang w:eastAsia="en-AU"/>
        </w:rPr>
        <w:t>e in 2023 to ensure it considers advances in processes and technology.</w:t>
      </w:r>
      <w:r w:rsidR="002A6E4F">
        <w:rPr>
          <w:lang w:eastAsia="en-AU"/>
        </w:rPr>
        <w:t xml:space="preserve"> The groundwater monitoring requirements in the Code of Practice will be independently assessed to ensure they remain effective and appropriate.</w:t>
      </w:r>
    </w:p>
    <w:p w14:paraId="05262C25" w14:textId="4EBCDE81" w:rsidR="006E5765" w:rsidRDefault="006E5765" w:rsidP="00737553">
      <w:pPr>
        <w:rPr>
          <w:lang w:eastAsia="en-AU"/>
        </w:rPr>
      </w:pPr>
      <w:r>
        <w:rPr>
          <w:lang w:eastAsia="en-AU"/>
        </w:rPr>
        <w:t>Water Allocation Plans are subject to declaration periods</w:t>
      </w:r>
      <w:r w:rsidR="002A6E4F">
        <w:rPr>
          <w:lang w:eastAsia="en-AU"/>
        </w:rPr>
        <w:t xml:space="preserve"> of up to 10 years</w:t>
      </w:r>
      <w:r>
        <w:rPr>
          <w:lang w:eastAsia="en-AU"/>
        </w:rPr>
        <w:t>. DEPWS will conduct statutory reviews of declared plans</w:t>
      </w:r>
      <w:r w:rsidR="002A6E4F">
        <w:rPr>
          <w:lang w:eastAsia="en-AU"/>
        </w:rPr>
        <w:t xml:space="preserve"> in 5-year intervals</w:t>
      </w:r>
      <w:r>
        <w:rPr>
          <w:lang w:eastAsia="en-AU"/>
        </w:rPr>
        <w:t>.</w:t>
      </w:r>
    </w:p>
    <w:p w14:paraId="5BAA991F" w14:textId="77777777" w:rsidR="003206B8" w:rsidRDefault="003206B8" w:rsidP="003206B8">
      <w:pPr>
        <w:pStyle w:val="Heading1"/>
        <w:rPr>
          <w:lang w:eastAsia="en-AU"/>
        </w:rPr>
      </w:pPr>
      <w:r>
        <w:rPr>
          <w:lang w:eastAsia="en-AU"/>
        </w:rPr>
        <w:t>Where can I find more information?</w:t>
      </w:r>
    </w:p>
    <w:p w14:paraId="5602D99D" w14:textId="768AEBA7" w:rsidR="00D71096" w:rsidRDefault="00D71096" w:rsidP="00D71096">
      <w:pPr>
        <w:rPr>
          <w:lang w:eastAsia="en-AU"/>
        </w:rPr>
      </w:pPr>
      <w:r>
        <w:rPr>
          <w:lang w:eastAsia="en-AU"/>
        </w:rPr>
        <w:t>Find out more about these reforms in Chapter 5 of the Scientific Inquiry into Hydraulic Fracturing Final Implementation Report.</w:t>
      </w:r>
    </w:p>
    <w:p w14:paraId="2065CA7E" w14:textId="139FC7A6" w:rsidR="003206B8" w:rsidRDefault="003206B8" w:rsidP="003206B8">
      <w:pPr>
        <w:rPr>
          <w:lang w:eastAsia="en-AU"/>
        </w:rPr>
      </w:pPr>
      <w:r>
        <w:rPr>
          <w:lang w:eastAsia="en-AU"/>
        </w:rPr>
        <w:t xml:space="preserve">NT Government decisions about </w:t>
      </w:r>
      <w:r w:rsidR="000B602C">
        <w:rPr>
          <w:lang w:eastAsia="en-AU"/>
        </w:rPr>
        <w:t>EMPs</w:t>
      </w:r>
      <w:r w:rsidR="00D71096">
        <w:rPr>
          <w:lang w:eastAsia="en-AU"/>
        </w:rPr>
        <w:t xml:space="preserve"> </w:t>
      </w:r>
      <w:r>
        <w:rPr>
          <w:lang w:eastAsia="en-AU"/>
        </w:rPr>
        <w:t xml:space="preserve">are available to the public on the DEPWS website at </w:t>
      </w:r>
      <w:hyperlink r:id="rId9" w:history="1">
        <w:r w:rsidRPr="00EF373C">
          <w:rPr>
            <w:rStyle w:val="Hyperlink"/>
            <w:b/>
            <w:lang w:eastAsia="en-AU"/>
          </w:rPr>
          <w:t>depws.nt.gov.au</w:t>
        </w:r>
      </w:hyperlink>
    </w:p>
    <w:p w14:paraId="7C160E2D" w14:textId="40DFBD64" w:rsidR="003206B8" w:rsidRDefault="003206B8" w:rsidP="003206B8">
      <w:pPr>
        <w:rPr>
          <w:lang w:eastAsia="en-AU"/>
        </w:rPr>
      </w:pPr>
      <w:r>
        <w:rPr>
          <w:lang w:eastAsia="en-AU"/>
        </w:rPr>
        <w:t>Water Allocation Plans are al</w:t>
      </w:r>
      <w:r w:rsidR="000B602C">
        <w:rPr>
          <w:lang w:eastAsia="en-AU"/>
        </w:rPr>
        <w:t>so available on the water licens</w:t>
      </w:r>
      <w:r>
        <w:rPr>
          <w:lang w:eastAsia="en-AU"/>
        </w:rPr>
        <w:t>ing portal on the DEPWS website.</w:t>
      </w:r>
    </w:p>
    <w:p w14:paraId="07DAE0B7" w14:textId="2DC96093" w:rsidR="00B82065" w:rsidRDefault="00B82065" w:rsidP="00B82065">
      <w:pPr>
        <w:rPr>
          <w:lang w:eastAsia="en-AU"/>
        </w:rPr>
      </w:pPr>
      <w:r>
        <w:rPr>
          <w:lang w:eastAsia="en-AU"/>
        </w:rPr>
        <w:t xml:space="preserve">The SREBA baseline reports, technical reports and data catalogue, are available at </w:t>
      </w:r>
      <w:hyperlink r:id="rId10" w:history="1">
        <w:r w:rsidRPr="00EF373C">
          <w:rPr>
            <w:rStyle w:val="Hyperlink"/>
            <w:b/>
            <w:lang w:eastAsia="en-AU"/>
          </w:rPr>
          <w:t>depws.nt.gov.au/</w:t>
        </w:r>
        <w:proofErr w:type="spellStart"/>
        <w:r w:rsidRPr="00EF373C">
          <w:rPr>
            <w:rStyle w:val="Hyperlink"/>
            <w:b/>
            <w:lang w:eastAsia="en-AU"/>
          </w:rPr>
          <w:t>sreba</w:t>
        </w:r>
        <w:proofErr w:type="spellEnd"/>
      </w:hyperlink>
    </w:p>
    <w:p w14:paraId="038880AC" w14:textId="3A1EEC84" w:rsidR="003206B8" w:rsidRDefault="003206B8" w:rsidP="003206B8">
      <w:pPr>
        <w:rPr>
          <w:lang w:eastAsia="en-AU"/>
        </w:rPr>
      </w:pPr>
      <w:r>
        <w:rPr>
          <w:lang w:eastAsia="en-AU"/>
        </w:rPr>
        <w:t>Fact sheets and audio files in Aboriginal languages</w:t>
      </w:r>
      <w:r>
        <w:rPr>
          <w:i/>
          <w:lang w:eastAsia="en-AU"/>
        </w:rPr>
        <w:t xml:space="preserve"> </w:t>
      </w:r>
      <w:r>
        <w:rPr>
          <w:lang w:eastAsia="en-AU"/>
        </w:rPr>
        <w:t xml:space="preserve">are available at </w:t>
      </w:r>
      <w:hyperlink r:id="rId11" w:history="1">
        <w:r w:rsidRPr="00EF373C">
          <w:rPr>
            <w:rStyle w:val="Hyperlink"/>
            <w:b/>
            <w:lang w:eastAsia="en-AU"/>
          </w:rPr>
          <w:t>hydraulicfracturing.nt.gov.au</w:t>
        </w:r>
      </w:hyperlink>
    </w:p>
    <w:p w14:paraId="390238BB" w14:textId="0033BFFD" w:rsidR="007D2B8E" w:rsidRDefault="003206B8" w:rsidP="00B333BE">
      <w:r>
        <w:rPr>
          <w:lang w:eastAsia="en-AU"/>
        </w:rPr>
        <w:t xml:space="preserve">To report regulatory breaches by the onshore gas industry, anyone can make a toll free, anonymous call to the Onshore Gas Non-Compliance Hotline. The hotline is available 24 hours a day on </w:t>
      </w:r>
      <w:r w:rsidRPr="000B602C">
        <w:rPr>
          <w:b/>
          <w:lang w:eastAsia="en-AU"/>
        </w:rPr>
        <w:t>1800 413 889</w:t>
      </w:r>
      <w:r>
        <w:rPr>
          <w:lang w:eastAsia="en-AU"/>
        </w:rPr>
        <w:t>.</w:t>
      </w:r>
    </w:p>
    <w:sectPr w:rsidR="007D2B8E" w:rsidSect="00A567EE">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68279" w14:textId="77777777" w:rsidR="00B943C4" w:rsidRDefault="00B943C4" w:rsidP="003206B8">
      <w:pPr>
        <w:spacing w:after="0"/>
      </w:pPr>
      <w:r>
        <w:separator/>
      </w:r>
    </w:p>
  </w:endnote>
  <w:endnote w:type="continuationSeparator" w:id="0">
    <w:p w14:paraId="16B356E8" w14:textId="77777777" w:rsidR="00B943C4" w:rsidRDefault="00B943C4" w:rsidP="003206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30278" w14:textId="77777777" w:rsidR="00983000" w:rsidRDefault="006A5745"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53CEDFA0" w14:textId="77777777" w:rsidTr="00D47DC7">
      <w:trPr>
        <w:cantSplit/>
        <w:trHeight w:hRule="exact" w:val="850"/>
      </w:trPr>
      <w:tc>
        <w:tcPr>
          <w:tcW w:w="10318" w:type="dxa"/>
          <w:vAlign w:val="bottom"/>
        </w:tcPr>
        <w:p w14:paraId="4E607EE8" w14:textId="464D6168" w:rsidR="00D47DC7" w:rsidRPr="00CE6614" w:rsidRDefault="006A5745"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077592" w:rsidRPr="00CE6614">
            <w:rPr>
              <w:rStyle w:val="PageNumber"/>
            </w:rPr>
            <w:t xml:space="preserve"> </w:t>
          </w:r>
        </w:p>
        <w:p w14:paraId="66F15821" w14:textId="506145D5" w:rsidR="00CA36A0" w:rsidRPr="00AC4488" w:rsidRDefault="00077592"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A5745">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A5745">
            <w:rPr>
              <w:rStyle w:val="PageNumber"/>
              <w:noProof/>
            </w:rPr>
            <w:t>2</w:t>
          </w:r>
          <w:r w:rsidRPr="00AC4488">
            <w:rPr>
              <w:rStyle w:val="PageNumber"/>
            </w:rPr>
            <w:fldChar w:fldCharType="end"/>
          </w:r>
        </w:p>
      </w:tc>
    </w:tr>
  </w:tbl>
  <w:p w14:paraId="4265DDB5" w14:textId="77777777" w:rsidR="00CA36A0" w:rsidRPr="00B11C67" w:rsidRDefault="006A5745"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1E690" w14:textId="77777777" w:rsidR="00D15D88" w:rsidRDefault="006A5745"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219DD612" w14:textId="77777777" w:rsidTr="008921B4">
      <w:trPr>
        <w:cantSplit/>
        <w:trHeight w:hRule="exact" w:val="1134"/>
      </w:trPr>
      <w:tc>
        <w:tcPr>
          <w:tcW w:w="7767" w:type="dxa"/>
          <w:vAlign w:val="bottom"/>
        </w:tcPr>
        <w:p w14:paraId="2E0C4445" w14:textId="176FEC5F" w:rsidR="00D47DC7" w:rsidRPr="00CE6614" w:rsidRDefault="006A5745"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077592" w:rsidRPr="00CE6614">
            <w:rPr>
              <w:rStyle w:val="PageNumber"/>
            </w:rPr>
            <w:t xml:space="preserve"> </w:t>
          </w:r>
        </w:p>
        <w:p w14:paraId="27A3D3C0" w14:textId="0D16D629" w:rsidR="0071700C" w:rsidRPr="00CE30CF" w:rsidRDefault="00077592"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A5745">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A5745">
            <w:rPr>
              <w:rStyle w:val="PageNumber"/>
              <w:noProof/>
            </w:rPr>
            <w:t>2</w:t>
          </w:r>
          <w:r w:rsidRPr="00AC4488">
            <w:rPr>
              <w:rStyle w:val="PageNumber"/>
            </w:rPr>
            <w:fldChar w:fldCharType="end"/>
          </w:r>
        </w:p>
      </w:tc>
      <w:tc>
        <w:tcPr>
          <w:tcW w:w="2551" w:type="dxa"/>
          <w:vAlign w:val="bottom"/>
        </w:tcPr>
        <w:p w14:paraId="52FF2791" w14:textId="77777777" w:rsidR="0071700C" w:rsidRPr="001E14EB" w:rsidRDefault="00077592" w:rsidP="0071700C">
          <w:pPr>
            <w:spacing w:after="0"/>
            <w:jc w:val="right"/>
          </w:pPr>
          <w:r>
            <w:rPr>
              <w:noProof/>
              <w:lang w:eastAsia="en-AU"/>
            </w:rPr>
            <w:drawing>
              <wp:inline distT="0" distB="0" distL="0" distR="0" wp14:anchorId="67C8FF87" wp14:editId="24FFDD0C">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3F2A35B3" w14:textId="77777777" w:rsidR="0089368E" w:rsidRPr="00661BE1" w:rsidRDefault="006A5745"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BA48B" w14:textId="77777777" w:rsidR="00B943C4" w:rsidRDefault="00B943C4" w:rsidP="003206B8">
      <w:pPr>
        <w:spacing w:after="0"/>
      </w:pPr>
      <w:r>
        <w:separator/>
      </w:r>
    </w:p>
  </w:footnote>
  <w:footnote w:type="continuationSeparator" w:id="0">
    <w:p w14:paraId="16F6E3A0" w14:textId="77777777" w:rsidR="00B943C4" w:rsidRDefault="00B943C4" w:rsidP="003206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1A89D" w14:textId="4F2D4EA4" w:rsidR="00983000" w:rsidRPr="00162207" w:rsidRDefault="006A5745" w:rsidP="008C70BB">
    <w:pPr>
      <w:pStyle w:val="Header"/>
      <w:tabs>
        <w:tab w:val="clear" w:pos="9638"/>
        <w:tab w:val="right" w:pos="10318"/>
      </w:tabs>
    </w:pPr>
    <w:sdt>
      <w:sdtPr>
        <w:alias w:val="Title"/>
        <w:tag w:val="Title"/>
        <w:id w:val="-2113969407"/>
        <w:dataBinding w:prefixMappings="xmlns:ns0='http://purl.org/dc/elements/1.1/' xmlns:ns1='http://schemas.openxmlformats.org/package/2006/metadata/core-properties' " w:xpath="/ns1:coreProperties[1]/ns0:title[1]" w:storeItemID="{6C3C8BC8-F283-45AE-878A-BAB7291924A1}"/>
        <w:text/>
      </w:sdtPr>
      <w:sdtEndPr/>
      <w:sdtContent>
        <w:r w:rsidR="00A6140B">
          <w:t>Chapter summary: Preserving the natural environment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dataBinding w:prefixMappings="xmlns:ns0='http://purl.org/dc/elements/1.1/' xmlns:ns1='http://schemas.openxmlformats.org/package/2006/metadata/core-properties' " w:xpath="/ns1:coreProperties[1]/ns0:title[1]" w:storeItemID="{6C3C8BC8-F283-45AE-878A-BAB7291924A1}"/>
      <w:text/>
    </w:sdtPr>
    <w:sdtEndPr/>
    <w:sdtContent>
      <w:p w14:paraId="2188E9F8" w14:textId="47F13629" w:rsidR="00E54F9E" w:rsidRDefault="00A6140B" w:rsidP="00435082">
        <w:pPr>
          <w:pStyle w:val="Title"/>
        </w:pPr>
        <w:r>
          <w:t>Chapter summary: Preserving the natural environment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61C"/>
    <w:multiLevelType w:val="hybridMultilevel"/>
    <w:tmpl w:val="CF125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43455"/>
    <w:multiLevelType w:val="hybridMultilevel"/>
    <w:tmpl w:val="C51AE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411C16"/>
    <w:multiLevelType w:val="hybridMultilevel"/>
    <w:tmpl w:val="43C2B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FD2115"/>
    <w:multiLevelType w:val="hybridMultilevel"/>
    <w:tmpl w:val="D05A8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44485A"/>
    <w:multiLevelType w:val="hybridMultilevel"/>
    <w:tmpl w:val="BC162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9A25ED"/>
    <w:multiLevelType w:val="hybridMultilevel"/>
    <w:tmpl w:val="3D926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4A2C25"/>
    <w:multiLevelType w:val="hybridMultilevel"/>
    <w:tmpl w:val="E4D09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0C1616"/>
    <w:multiLevelType w:val="hybridMultilevel"/>
    <w:tmpl w:val="0F488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E24417"/>
    <w:multiLevelType w:val="hybridMultilevel"/>
    <w:tmpl w:val="48BA913A"/>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15:restartNumberingAfterBreak="0">
    <w:nsid w:val="34C06628"/>
    <w:multiLevelType w:val="hybridMultilevel"/>
    <w:tmpl w:val="66380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142526"/>
    <w:multiLevelType w:val="hybridMultilevel"/>
    <w:tmpl w:val="ACAE1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472F0D"/>
    <w:multiLevelType w:val="hybridMultilevel"/>
    <w:tmpl w:val="856E2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A73218"/>
    <w:multiLevelType w:val="hybridMultilevel"/>
    <w:tmpl w:val="977868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3C04DF"/>
    <w:multiLevelType w:val="hybridMultilevel"/>
    <w:tmpl w:val="23109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9"/>
  </w:num>
  <w:num w:numId="5">
    <w:abstractNumId w:val="5"/>
  </w:num>
  <w:num w:numId="6">
    <w:abstractNumId w:val="13"/>
  </w:num>
  <w:num w:numId="7">
    <w:abstractNumId w:val="0"/>
  </w:num>
  <w:num w:numId="8">
    <w:abstractNumId w:val="8"/>
  </w:num>
  <w:num w:numId="9">
    <w:abstractNumId w:val="12"/>
  </w:num>
  <w:num w:numId="10">
    <w:abstractNumId w:val="4"/>
  </w:num>
  <w:num w:numId="11">
    <w:abstractNumId w:val="3"/>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B8"/>
    <w:rsid w:val="00020946"/>
    <w:rsid w:val="00031D76"/>
    <w:rsid w:val="00075BD4"/>
    <w:rsid w:val="00077592"/>
    <w:rsid w:val="000B1A72"/>
    <w:rsid w:val="000B602C"/>
    <w:rsid w:val="000C2083"/>
    <w:rsid w:val="000E4ACC"/>
    <w:rsid w:val="001040BE"/>
    <w:rsid w:val="0012712A"/>
    <w:rsid w:val="00157A29"/>
    <w:rsid w:val="00203368"/>
    <w:rsid w:val="00256705"/>
    <w:rsid w:val="002770E1"/>
    <w:rsid w:val="00297CD9"/>
    <w:rsid w:val="002A6E4F"/>
    <w:rsid w:val="002E1B77"/>
    <w:rsid w:val="003206B8"/>
    <w:rsid w:val="00337D3E"/>
    <w:rsid w:val="00390470"/>
    <w:rsid w:val="004117F4"/>
    <w:rsid w:val="00431A17"/>
    <w:rsid w:val="004A0659"/>
    <w:rsid w:val="004F4E6C"/>
    <w:rsid w:val="00535800"/>
    <w:rsid w:val="0054395F"/>
    <w:rsid w:val="005568B5"/>
    <w:rsid w:val="00575E73"/>
    <w:rsid w:val="005C66A0"/>
    <w:rsid w:val="00612386"/>
    <w:rsid w:val="0069078F"/>
    <w:rsid w:val="006A5745"/>
    <w:rsid w:val="006E5765"/>
    <w:rsid w:val="006F73B6"/>
    <w:rsid w:val="00737553"/>
    <w:rsid w:val="007D1CDC"/>
    <w:rsid w:val="007D2B8E"/>
    <w:rsid w:val="007F58A8"/>
    <w:rsid w:val="00803547"/>
    <w:rsid w:val="0080459D"/>
    <w:rsid w:val="00821473"/>
    <w:rsid w:val="00916AD6"/>
    <w:rsid w:val="0093505D"/>
    <w:rsid w:val="00993AA3"/>
    <w:rsid w:val="009D7468"/>
    <w:rsid w:val="00A246EA"/>
    <w:rsid w:val="00A6140B"/>
    <w:rsid w:val="00AB1D87"/>
    <w:rsid w:val="00AE4966"/>
    <w:rsid w:val="00B13CFA"/>
    <w:rsid w:val="00B2522E"/>
    <w:rsid w:val="00B32894"/>
    <w:rsid w:val="00B333BE"/>
    <w:rsid w:val="00B71E17"/>
    <w:rsid w:val="00B82065"/>
    <w:rsid w:val="00B943C4"/>
    <w:rsid w:val="00BA1783"/>
    <w:rsid w:val="00C041FB"/>
    <w:rsid w:val="00C128C6"/>
    <w:rsid w:val="00C45BE4"/>
    <w:rsid w:val="00CA79AB"/>
    <w:rsid w:val="00CF72E2"/>
    <w:rsid w:val="00D529EE"/>
    <w:rsid w:val="00D66664"/>
    <w:rsid w:val="00D71096"/>
    <w:rsid w:val="00DE2967"/>
    <w:rsid w:val="00EF373C"/>
    <w:rsid w:val="00EF4847"/>
    <w:rsid w:val="00FD1DEC"/>
    <w:rsid w:val="00FE580F"/>
    <w:rsid w:val="00FE7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68F116"/>
  <w15:chartTrackingRefBased/>
  <w15:docId w15:val="{B7CA7561-E097-438E-A8FF-234D096B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6B8"/>
    <w:pPr>
      <w:spacing w:after="200" w:line="240" w:lineRule="auto"/>
    </w:pPr>
    <w:rPr>
      <w:rFonts w:ascii="Lato" w:eastAsia="Calibri" w:hAnsi="Lato" w:cs="Times New Roman"/>
    </w:rPr>
  </w:style>
  <w:style w:type="paragraph" w:styleId="Heading1">
    <w:name w:val="heading 1"/>
    <w:basedOn w:val="Normal"/>
    <w:next w:val="Normal"/>
    <w:link w:val="Heading1Char"/>
    <w:uiPriority w:val="2"/>
    <w:qFormat/>
    <w:rsid w:val="003206B8"/>
    <w:pPr>
      <w:keepNext/>
      <w:keepLines/>
      <w:spacing w:before="240"/>
      <w:outlineLvl w:val="0"/>
    </w:pPr>
    <w:rPr>
      <w:rFonts w:ascii="Lato Semibold" w:eastAsia="Times New Roman" w:hAnsi="Lato Semibold"/>
      <w:color w:val="1F1F5F"/>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206B8"/>
    <w:rPr>
      <w:rFonts w:ascii="Lato Semibold" w:eastAsia="Times New Roman" w:hAnsi="Lato Semibold" w:cs="Times New Roman"/>
      <w:color w:val="1F1F5F"/>
      <w:kern w:val="32"/>
      <w:sz w:val="36"/>
      <w:szCs w:val="32"/>
    </w:rPr>
  </w:style>
  <w:style w:type="paragraph" w:styleId="Title">
    <w:name w:val="Title"/>
    <w:basedOn w:val="Normal"/>
    <w:next w:val="Normal"/>
    <w:link w:val="TitleChar"/>
    <w:qFormat/>
    <w:rsid w:val="003206B8"/>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3206B8"/>
    <w:rPr>
      <w:rFonts w:ascii="Lato Semibold" w:eastAsia="Times New Roman" w:hAnsi="Lato Semibold" w:cs="Times New Roman"/>
      <w:bCs/>
      <w:color w:val="1F1F5F"/>
      <w:kern w:val="32"/>
      <w:sz w:val="60"/>
      <w:szCs w:val="64"/>
    </w:rPr>
  </w:style>
  <w:style w:type="paragraph" w:styleId="Header">
    <w:name w:val="header"/>
    <w:aliases w:val="Page header"/>
    <w:basedOn w:val="Normal"/>
    <w:next w:val="Normal"/>
    <w:link w:val="HeaderChar"/>
    <w:uiPriority w:val="8"/>
    <w:rsid w:val="003206B8"/>
    <w:pPr>
      <w:tabs>
        <w:tab w:val="right" w:pos="9638"/>
      </w:tabs>
      <w:spacing w:after="240"/>
      <w:jc w:val="right"/>
    </w:pPr>
  </w:style>
  <w:style w:type="character" w:customStyle="1" w:styleId="HeaderChar">
    <w:name w:val="Header Char"/>
    <w:aliases w:val="Page header Char"/>
    <w:basedOn w:val="DefaultParagraphFont"/>
    <w:link w:val="Header"/>
    <w:uiPriority w:val="8"/>
    <w:rsid w:val="003206B8"/>
    <w:rPr>
      <w:rFonts w:ascii="Lato" w:eastAsia="Calibri" w:hAnsi="Lato" w:cs="Times New Roman"/>
    </w:rPr>
  </w:style>
  <w:style w:type="paragraph" w:styleId="Footer">
    <w:name w:val="footer"/>
    <w:basedOn w:val="Normal"/>
    <w:link w:val="FooterChar"/>
    <w:uiPriority w:val="99"/>
    <w:semiHidden/>
    <w:rsid w:val="003206B8"/>
    <w:pPr>
      <w:tabs>
        <w:tab w:val="center" w:pos="4513"/>
        <w:tab w:val="right" w:pos="9026"/>
      </w:tabs>
      <w:spacing w:after="0"/>
    </w:pPr>
  </w:style>
  <w:style w:type="character" w:customStyle="1" w:styleId="FooterChar">
    <w:name w:val="Footer Char"/>
    <w:basedOn w:val="DefaultParagraphFont"/>
    <w:link w:val="Footer"/>
    <w:uiPriority w:val="99"/>
    <w:semiHidden/>
    <w:rsid w:val="003206B8"/>
    <w:rPr>
      <w:rFonts w:ascii="Lato" w:eastAsia="Calibri" w:hAnsi="Lato" w:cs="Times New Roman"/>
    </w:rPr>
  </w:style>
  <w:style w:type="paragraph" w:styleId="ListParagraph">
    <w:name w:val="List Paragraph"/>
    <w:basedOn w:val="BlockText"/>
    <w:uiPriority w:val="34"/>
    <w:qFormat/>
    <w:rsid w:val="003206B8"/>
    <w:pPr>
      <w:pBdr>
        <w:top w:val="none" w:sz="0" w:space="0" w:color="auto"/>
        <w:left w:val="none" w:sz="0" w:space="0" w:color="auto"/>
        <w:bottom w:val="none" w:sz="0" w:space="0" w:color="auto"/>
        <w:right w:val="none" w:sz="0" w:space="0" w:color="auto"/>
      </w:pBdr>
      <w:spacing w:after="120"/>
      <w:ind w:left="0" w:right="0"/>
    </w:pPr>
    <w:rPr>
      <w:rFonts w:ascii="Lato" w:hAnsi="Lato" w:cs="Times New Roman"/>
      <w:i w:val="0"/>
      <w:color w:val="auto"/>
    </w:rPr>
  </w:style>
  <w:style w:type="character" w:styleId="PageNumber">
    <w:name w:val="page number"/>
    <w:aliases w:val="Page number"/>
    <w:basedOn w:val="DefaultParagraphFont"/>
    <w:uiPriority w:val="8"/>
    <w:rsid w:val="003206B8"/>
    <w:rPr>
      <w:rFonts w:ascii="Lato" w:hAnsi="Lato"/>
      <w:sz w:val="19"/>
    </w:rPr>
  </w:style>
  <w:style w:type="paragraph" w:customStyle="1" w:styleId="Hidden">
    <w:name w:val="Hidden"/>
    <w:basedOn w:val="Normal"/>
    <w:uiPriority w:val="9"/>
    <w:rsid w:val="003206B8"/>
    <w:pPr>
      <w:spacing w:after="0"/>
    </w:pPr>
    <w:rPr>
      <w:sz w:val="2"/>
      <w:szCs w:val="2"/>
    </w:rPr>
  </w:style>
  <w:style w:type="paragraph" w:styleId="CommentText">
    <w:name w:val="annotation text"/>
    <w:basedOn w:val="Normal"/>
    <w:link w:val="CommentTextChar"/>
    <w:uiPriority w:val="99"/>
    <w:semiHidden/>
    <w:unhideWhenUsed/>
    <w:rsid w:val="003206B8"/>
    <w:rPr>
      <w:sz w:val="20"/>
      <w:szCs w:val="20"/>
    </w:rPr>
  </w:style>
  <w:style w:type="character" w:customStyle="1" w:styleId="CommentTextChar">
    <w:name w:val="Comment Text Char"/>
    <w:basedOn w:val="DefaultParagraphFont"/>
    <w:link w:val="CommentText"/>
    <w:uiPriority w:val="99"/>
    <w:semiHidden/>
    <w:rsid w:val="003206B8"/>
    <w:rPr>
      <w:rFonts w:ascii="Lato" w:eastAsia="Calibri" w:hAnsi="Lato" w:cs="Times New Roman"/>
      <w:sz w:val="20"/>
      <w:szCs w:val="20"/>
    </w:rPr>
  </w:style>
  <w:style w:type="paragraph" w:styleId="BlockText">
    <w:name w:val="Block Text"/>
    <w:basedOn w:val="Normal"/>
    <w:uiPriority w:val="99"/>
    <w:semiHidden/>
    <w:unhideWhenUsed/>
    <w:rsid w:val="003206B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character" w:styleId="CommentReference">
    <w:name w:val="annotation reference"/>
    <w:basedOn w:val="DefaultParagraphFont"/>
    <w:uiPriority w:val="99"/>
    <w:semiHidden/>
    <w:unhideWhenUsed/>
    <w:rsid w:val="00BA1783"/>
    <w:rPr>
      <w:sz w:val="16"/>
      <w:szCs w:val="16"/>
    </w:rPr>
  </w:style>
  <w:style w:type="paragraph" w:styleId="CommentSubject">
    <w:name w:val="annotation subject"/>
    <w:basedOn w:val="CommentText"/>
    <w:next w:val="CommentText"/>
    <w:link w:val="CommentSubjectChar"/>
    <w:uiPriority w:val="99"/>
    <w:semiHidden/>
    <w:unhideWhenUsed/>
    <w:rsid w:val="00BA1783"/>
    <w:rPr>
      <w:b/>
      <w:bCs/>
    </w:rPr>
  </w:style>
  <w:style w:type="character" w:customStyle="1" w:styleId="CommentSubjectChar">
    <w:name w:val="Comment Subject Char"/>
    <w:basedOn w:val="CommentTextChar"/>
    <w:link w:val="CommentSubject"/>
    <w:uiPriority w:val="99"/>
    <w:semiHidden/>
    <w:rsid w:val="00BA1783"/>
    <w:rPr>
      <w:rFonts w:ascii="Lato" w:eastAsia="Calibri" w:hAnsi="Lato" w:cs="Times New Roman"/>
      <w:b/>
      <w:bCs/>
      <w:sz w:val="20"/>
      <w:szCs w:val="20"/>
    </w:rPr>
  </w:style>
  <w:style w:type="paragraph" w:styleId="BalloonText">
    <w:name w:val="Balloon Text"/>
    <w:basedOn w:val="Normal"/>
    <w:link w:val="BalloonTextChar"/>
    <w:uiPriority w:val="99"/>
    <w:semiHidden/>
    <w:unhideWhenUsed/>
    <w:rsid w:val="00BA17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783"/>
    <w:rPr>
      <w:rFonts w:ascii="Segoe UI" w:eastAsia="Calibri" w:hAnsi="Segoe UI" w:cs="Segoe UI"/>
      <w:sz w:val="18"/>
      <w:szCs w:val="18"/>
    </w:rPr>
  </w:style>
  <w:style w:type="table" w:styleId="TableGrid">
    <w:name w:val="Table Grid"/>
    <w:basedOn w:val="TableNormal"/>
    <w:uiPriority w:val="39"/>
    <w:rsid w:val="00203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37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ydraulicfracturing.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depws.nt.gov.au/sreba" TargetMode="External"/><Relationship Id="rId4" Type="http://schemas.openxmlformats.org/officeDocument/2006/relationships/styles" Target="styles.xml"/><Relationship Id="rId9" Type="http://schemas.openxmlformats.org/officeDocument/2006/relationships/hyperlink" Target="depws.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395B0C-92D0-48D3-91E5-57061B80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4745</Characters>
  <Application>Microsoft Office Word</Application>
  <DocSecurity>0</DocSecurity>
  <Lines>77</Lines>
  <Paragraphs>32</Paragraphs>
  <ScaleCrop>false</ScaleCrop>
  <HeadingPairs>
    <vt:vector size="2" baseType="variant">
      <vt:variant>
        <vt:lpstr>Title</vt:lpstr>
      </vt:variant>
      <vt:variant>
        <vt:i4>1</vt:i4>
      </vt:variant>
    </vt:vector>
  </HeadingPairs>
  <TitlesOfParts>
    <vt:vector size="1" baseType="lpstr">
      <vt:lpstr>Fact Sheet - Risks to the Natural Environment</vt:lpstr>
    </vt:vector>
  </TitlesOfParts>
  <Company>THE CHIEF MINISTER AND CABINET</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summary: Preserving the natural environment</dc:title>
  <dc:subject/>
  <dc:creator>Luke Derrick</dc:creator>
  <cp:keywords/>
  <dc:description/>
  <cp:lastModifiedBy>Jordan Elliott</cp:lastModifiedBy>
  <cp:revision>2</cp:revision>
  <cp:lastPrinted>2023-03-23T05:01:00Z</cp:lastPrinted>
  <dcterms:created xsi:type="dcterms:W3CDTF">2023-05-02T23:45:00Z</dcterms:created>
  <dcterms:modified xsi:type="dcterms:W3CDTF">2023-05-02T23:45:00Z</dcterms:modified>
</cp:coreProperties>
</file>